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5724115"/>
        <w:docPartObj>
          <w:docPartGallery w:val="Cover Pages"/>
          <w:docPartUnique/>
        </w:docPartObj>
      </w:sdtPr>
      <w:sdtEndPr>
        <w:rPr>
          <w:b/>
          <w:bCs/>
        </w:rPr>
      </w:sdtEndPr>
      <w:sdtContent>
        <w:p w14:paraId="0B850B02" w14:textId="77777777" w:rsidR="00D861D9" w:rsidRDefault="00D861D9">
          <w:r>
            <w:rPr>
              <w:noProof/>
            </w:rPr>
            <mc:AlternateContent>
              <mc:Choice Requires="wpg">
                <w:drawing>
                  <wp:anchor distT="0" distB="0" distL="114300" distR="114300" simplePos="0" relativeHeight="251662336" behindDoc="0" locked="0" layoutInCell="1" allowOverlap="1" wp14:anchorId="079FC5B3" wp14:editId="1770235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DB47E3E"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P8tJ&#10;kwUAAKQbAAAOAAAAAAAAAAAAAAAAADoCAABkcnMvZTJvRG9jLnhtbFBLAQItAAoAAAAAAAAAIQCb&#10;GxQRaGQAAGhkAAAUAAAAAAAAAAAAAAAAAPkHAABkcnMvbWVkaWEvaW1hZ2UxLnBuZ1BLAQItABQA&#10;BgAIAAAAIQABvQUm2gAAAAsBAAAPAAAAAAAAAAAAAAAAAJN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408AD1A" wp14:editId="1BE598E3">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190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CEEABA6" w14:textId="77777777" w:rsidR="00095FA5" w:rsidRDefault="00095FA5">
                                    <w:pPr>
                                      <w:pStyle w:val="NoSpacing"/>
                                      <w:jc w:val="right"/>
                                      <w:rPr>
                                        <w:color w:val="595959" w:themeColor="text1" w:themeTint="A6"/>
                                        <w:sz w:val="28"/>
                                        <w:szCs w:val="28"/>
                                      </w:rPr>
                                    </w:pPr>
                                    <w:r>
                                      <w:rPr>
                                        <w:color w:val="595959" w:themeColor="text1" w:themeTint="A6"/>
                                        <w:sz w:val="28"/>
                                        <w:szCs w:val="28"/>
                                      </w:rPr>
                                      <w:t>Dragas Center for Economic Analysis and Policy</w:t>
                                    </w:r>
                                  </w:p>
                                </w:sdtContent>
                              </w:sdt>
                              <w:p w14:paraId="4B3BD446" w14:textId="77777777" w:rsidR="00095FA5" w:rsidRDefault="00A34032">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095FA5">
                                      <w:rPr>
                                        <w:color w:val="595959" w:themeColor="text1" w:themeTint="A6"/>
                                        <w:sz w:val="18"/>
                                        <w:szCs w:val="18"/>
                                      </w:rPr>
                                      <w:t>rmcnab@odu.edu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408AD1A"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CEEABA6" w14:textId="77777777" w:rsidR="00095FA5" w:rsidRDefault="00095FA5">
                              <w:pPr>
                                <w:pStyle w:val="NoSpacing"/>
                                <w:jc w:val="right"/>
                                <w:rPr>
                                  <w:color w:val="595959" w:themeColor="text1" w:themeTint="A6"/>
                                  <w:sz w:val="28"/>
                                  <w:szCs w:val="28"/>
                                </w:rPr>
                              </w:pPr>
                              <w:r>
                                <w:rPr>
                                  <w:color w:val="595959" w:themeColor="text1" w:themeTint="A6"/>
                                  <w:sz w:val="28"/>
                                  <w:szCs w:val="28"/>
                                </w:rPr>
                                <w:t>Dragas Center for Economic Analysis and Policy</w:t>
                              </w:r>
                            </w:p>
                          </w:sdtContent>
                        </w:sdt>
                        <w:p w14:paraId="4B3BD446" w14:textId="77777777" w:rsidR="00095FA5" w:rsidRDefault="00877A5F">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095FA5">
                                <w:rPr>
                                  <w:color w:val="595959" w:themeColor="text1" w:themeTint="A6"/>
                                  <w:sz w:val="18"/>
                                  <w:szCs w:val="18"/>
                                </w:rPr>
                                <w:t>rmcnab@odu.edu</w:t>
                              </w:r>
                            </w:sdtContent>
                          </w:sdt>
                        </w:p>
                      </w:txbxContent>
                    </v:textbox>
                    <w10:wrap type="square" anchorx="page" anchory="page"/>
                  </v:shape>
                </w:pict>
              </mc:Fallback>
            </mc:AlternateContent>
          </w:r>
        </w:p>
        <w:p w14:paraId="0A041263" w14:textId="77777777" w:rsidR="00D861D9" w:rsidRDefault="00D861D9" w:rsidP="00D861D9">
          <w:pPr>
            <w:rPr>
              <w:b/>
              <w:bCs/>
            </w:rPr>
          </w:pPr>
          <w:r>
            <w:rPr>
              <w:noProof/>
            </w:rPr>
            <mc:AlternateContent>
              <mc:Choice Requires="wps">
                <w:drawing>
                  <wp:anchor distT="0" distB="0" distL="114300" distR="114300" simplePos="0" relativeHeight="251661312" behindDoc="0" locked="0" layoutInCell="1" allowOverlap="1" wp14:anchorId="5226F928" wp14:editId="3C315251">
                    <wp:simplePos x="0" y="0"/>
                    <wp:positionH relativeFrom="page">
                      <wp:posOffset>234778</wp:posOffset>
                    </wp:positionH>
                    <wp:positionV relativeFrom="page">
                      <wp:posOffset>7043351</wp:posOffset>
                    </wp:positionV>
                    <wp:extent cx="7315200" cy="1309817"/>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3098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C7908" w14:textId="77777777" w:rsidR="00095FA5" w:rsidRDefault="00095FA5" w:rsidP="00D861D9">
                                <w:pPr>
                                  <w:pStyle w:val="NoSpacing"/>
                                  <w:ind w:left="2160" w:firstLine="720"/>
                                  <w:rPr>
                                    <w:color w:val="4472C4" w:themeColor="accent1"/>
                                    <w:sz w:val="28"/>
                                    <w:szCs w:val="28"/>
                                  </w:rPr>
                                </w:pPr>
                                <w:r>
                                  <w:rPr>
                                    <w:color w:val="4472C4" w:themeColor="accent1"/>
                                    <w:sz w:val="28"/>
                                    <w:szCs w:val="28"/>
                                  </w:rPr>
                                  <w:t>Abstract</w:t>
                                </w:r>
                              </w:p>
                              <w:sdt>
                                <w:sdtPr>
                                  <w:rPr>
                                    <w:color w:val="595959" w:themeColor="text1" w:themeTint="A6"/>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6F1C0424" w14:textId="7E22611C" w:rsidR="00095FA5" w:rsidRDefault="00095FA5">
                                    <w:pPr>
                                      <w:pStyle w:val="NoSpacing"/>
                                      <w:jc w:val="right"/>
                                      <w:rPr>
                                        <w:color w:val="595959" w:themeColor="text1" w:themeTint="A6"/>
                                        <w:sz w:val="20"/>
                                        <w:szCs w:val="20"/>
                                      </w:rPr>
                                    </w:pPr>
                                    <w:r w:rsidRPr="000B26EB">
                                      <w:rPr>
                                        <w:color w:val="595959" w:themeColor="text1" w:themeTint="A6"/>
                                        <w:sz w:val="24"/>
                                        <w:szCs w:val="24"/>
                                      </w:rPr>
                                      <w:t>ZIM Integrated Shipping Services Ltd. (ZIM Shipping) is a container shipment carrier that operates a modern fleet of ships and services global routes through a network of shipping lines.</w:t>
                                    </w:r>
                                    <w:r w:rsidR="007E7254">
                                      <w:rPr>
                                        <w:color w:val="595959" w:themeColor="text1" w:themeTint="A6"/>
                                        <w:sz w:val="24"/>
                                        <w:szCs w:val="24"/>
                                      </w:rPr>
                                      <w:t xml:space="preserve"> </w:t>
                                    </w:r>
                                    <w:r w:rsidRPr="000B26EB">
                                      <w:rPr>
                                        <w:color w:val="595959" w:themeColor="text1" w:themeTint="A6"/>
                                        <w:sz w:val="24"/>
                                        <w:szCs w:val="24"/>
                                      </w:rPr>
                                      <w:t xml:space="preserve">We estimate that the total economic impact of ZIM Shipping’s operations in the Commonwealth are approximately </w:t>
                                    </w:r>
                                    <w:r w:rsidR="007E7254">
                                      <w:rPr>
                                        <w:color w:val="595959" w:themeColor="text1" w:themeTint="A6"/>
                                        <w:sz w:val="24"/>
                                        <w:szCs w:val="24"/>
                                      </w:rPr>
                                      <w:t>$1,158.7</w:t>
                                    </w:r>
                                    <w:r w:rsidRPr="000B26EB">
                                      <w:rPr>
                                        <w:color w:val="595959" w:themeColor="text1" w:themeTint="A6"/>
                                        <w:sz w:val="24"/>
                                        <w:szCs w:val="24"/>
                                      </w:rPr>
                                      <w:t xml:space="preserve"> million in 2019 dollars over the 2009 to 2019 time period.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226F928" id="Text Box 153" o:spid="_x0000_s1027" type="#_x0000_t202" style="position:absolute;margin-left:18.5pt;margin-top:554.6pt;width:8in;height:103.15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" filled="f" stroked="f" strokeweight=".5pt">
                    <v:textbox inset="126pt,0,54pt,0">
                      <w:txbxContent>
                        <w:p w14:paraId="52DC7908" w14:textId="77777777" w:rsidR="00095FA5" w:rsidRDefault="00095FA5" w:rsidP="00D861D9">
                          <w:pPr>
                            <w:pStyle w:val="NoSpacing"/>
                            <w:ind w:left="2160" w:firstLine="720"/>
                            <w:rPr>
                              <w:color w:val="4472C4" w:themeColor="accent1"/>
                              <w:sz w:val="28"/>
                              <w:szCs w:val="28"/>
                            </w:rPr>
                          </w:pPr>
                          <w:r>
                            <w:rPr>
                              <w:color w:val="4472C4" w:themeColor="accent1"/>
                              <w:sz w:val="28"/>
                              <w:szCs w:val="28"/>
                            </w:rPr>
                            <w:t>Abstract</w:t>
                          </w:r>
                        </w:p>
                        <w:sdt>
                          <w:sdtPr>
                            <w:rPr>
                              <w:color w:val="595959" w:themeColor="text1" w:themeTint="A6"/>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6F1C0424" w14:textId="7E22611C" w:rsidR="00095FA5" w:rsidRDefault="00095FA5">
                              <w:pPr>
                                <w:pStyle w:val="NoSpacing"/>
                                <w:jc w:val="right"/>
                                <w:rPr>
                                  <w:color w:val="595959" w:themeColor="text1" w:themeTint="A6"/>
                                  <w:sz w:val="20"/>
                                  <w:szCs w:val="20"/>
                                </w:rPr>
                              </w:pPr>
                              <w:r w:rsidRPr="000B26EB">
                                <w:rPr>
                                  <w:color w:val="595959" w:themeColor="text1" w:themeTint="A6"/>
                                  <w:sz w:val="24"/>
                                  <w:szCs w:val="24"/>
                                </w:rPr>
                                <w:t>ZIM Integrated Shipping Services Ltd. (ZIM Shipping) is a container shipment carrier that operates a modern fleet of ships and services global routes through a network of shipping lines.</w:t>
                              </w:r>
                              <w:r w:rsidR="007E7254">
                                <w:rPr>
                                  <w:color w:val="595959" w:themeColor="text1" w:themeTint="A6"/>
                                  <w:sz w:val="24"/>
                                  <w:szCs w:val="24"/>
                                </w:rPr>
                                <w:t xml:space="preserve"> </w:t>
                              </w:r>
                              <w:r w:rsidRPr="000B26EB">
                                <w:rPr>
                                  <w:color w:val="595959" w:themeColor="text1" w:themeTint="A6"/>
                                  <w:sz w:val="24"/>
                                  <w:szCs w:val="24"/>
                                </w:rPr>
                                <w:t xml:space="preserve">We estimate that the total economic impact of ZIM Shipping’s operations in the Commonwealth are approximately </w:t>
                              </w:r>
                              <w:r w:rsidR="007E7254">
                                <w:rPr>
                                  <w:color w:val="595959" w:themeColor="text1" w:themeTint="A6"/>
                                  <w:sz w:val="24"/>
                                  <w:szCs w:val="24"/>
                                </w:rPr>
                                <w:t>$1,158.7</w:t>
                              </w:r>
                              <w:r w:rsidRPr="000B26EB">
                                <w:rPr>
                                  <w:color w:val="595959" w:themeColor="text1" w:themeTint="A6"/>
                                  <w:sz w:val="24"/>
                                  <w:szCs w:val="24"/>
                                </w:rPr>
                                <w:t xml:space="preserve"> million in 2019 dollars over the 2009 to 2019 time period.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B2FBEA6" wp14:editId="01B1BC40">
                    <wp:simplePos x="0" y="0"/>
                    <wp:positionH relativeFrom="page">
                      <wp:posOffset>253657</wp:posOffset>
                    </wp:positionH>
                    <wp:positionV relativeFrom="page">
                      <wp:posOffset>3017520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A2B7E" w14:textId="77777777" w:rsidR="00095FA5" w:rsidRDefault="00A3403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95FA5">
                                      <w:rPr>
                                        <w:caps/>
                                        <w:color w:val="4472C4" w:themeColor="accent1"/>
                                        <w:sz w:val="64"/>
                                        <w:szCs w:val="64"/>
                                      </w:rPr>
                                      <w:t>The Economic impact of ZIM shipping’s operations in the Commonwealth of Virginia</w:t>
                                    </w:r>
                                  </w:sdtContent>
                                </w:sdt>
                              </w:p>
                              <w:p w14:paraId="31134290" w14:textId="6973C460" w:rsidR="00095FA5" w:rsidRDefault="00A34032">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3107F2">
                                      <w:rPr>
                                        <w:color w:val="404040" w:themeColor="text1" w:themeTint="BF"/>
                                        <w:sz w:val="36"/>
                                        <w:szCs w:val="36"/>
                                      </w:rPr>
                                      <w:t>May</w:t>
                                    </w:r>
                                    <w:r w:rsidR="00095FA5">
                                      <w:rPr>
                                        <w:color w:val="404040" w:themeColor="text1" w:themeTint="BF"/>
                                        <w:sz w:val="36"/>
                                        <w:szCs w:val="36"/>
                                      </w:rPr>
                                      <w:t xml:space="preserve"> 2020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B2FBEA6" id="Text Box 154" o:spid="_x0000_s1028" type="#_x0000_t202" style="position:absolute;margin-left:19.95pt;margin-top:237.6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" filled="f" stroked="f" strokeweight=".5pt">
                    <v:textbox inset="126pt,0,54pt,0">
                      <w:txbxContent>
                        <w:p w14:paraId="116A2B7E" w14:textId="77777777" w:rsidR="00095FA5" w:rsidRDefault="00877A5F">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95FA5">
                                <w:rPr>
                                  <w:caps/>
                                  <w:color w:val="4472C4" w:themeColor="accent1"/>
                                  <w:sz w:val="64"/>
                                  <w:szCs w:val="64"/>
                                </w:rPr>
                                <w:t>The Economic impact of ZIM shipping’s operations in the Commonwealth of Virginia</w:t>
                              </w:r>
                            </w:sdtContent>
                          </w:sdt>
                        </w:p>
                        <w:p w14:paraId="31134290" w14:textId="6973C460" w:rsidR="00095FA5" w:rsidRDefault="00877A5F">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3107F2">
                                <w:rPr>
                                  <w:color w:val="404040" w:themeColor="text1" w:themeTint="BF"/>
                                  <w:sz w:val="36"/>
                                  <w:szCs w:val="36"/>
                                </w:rPr>
                                <w:t>May</w:t>
                              </w:r>
                              <w:r w:rsidR="00095FA5">
                                <w:rPr>
                                  <w:color w:val="404040" w:themeColor="text1" w:themeTint="BF"/>
                                  <w:sz w:val="36"/>
                                  <w:szCs w:val="36"/>
                                </w:rPr>
                                <w:t xml:space="preserve"> 2020</w:t>
                              </w:r>
                            </w:sdtContent>
                          </w:sdt>
                        </w:p>
                      </w:txbxContent>
                    </v:textbox>
                    <w10:wrap type="square" anchorx="page" anchory="page"/>
                  </v:shape>
                </w:pict>
              </mc:Fallback>
            </mc:AlternateContent>
          </w:r>
          <w:r>
            <w:rPr>
              <w:b/>
              <w:bCs/>
            </w:rPr>
            <w:br w:type="page"/>
          </w:r>
        </w:p>
        <w:p w14:paraId="59421E74" w14:textId="77777777" w:rsidR="00D861D9" w:rsidRDefault="00D861D9" w:rsidP="00D861D9">
          <w:pPr>
            <w:spacing w:line="480" w:lineRule="auto"/>
            <w:rPr>
              <w:b/>
              <w:bCs/>
            </w:rPr>
          </w:pPr>
          <w:r>
            <w:rPr>
              <w:b/>
              <w:bCs/>
            </w:rPr>
            <w:lastRenderedPageBreak/>
            <w:t>Executive Summary</w:t>
          </w:r>
        </w:p>
        <w:p w14:paraId="589734B6" w14:textId="58280A7D" w:rsidR="00D861D9" w:rsidRDefault="00D861D9" w:rsidP="00F02686">
          <w:pPr>
            <w:jc w:val="both"/>
          </w:pPr>
          <w:r>
            <w:tab/>
            <w:t>ZIM Integrated Shipping Services Ltd. (ZIM Shipping) is a container shipment carrier that operates a modern fleet of ships and services global routes through a network of shipping lines. ZIM Shipping offers cargo sea and land carrier transportation services for dry, refrigerated, and other goods</w:t>
          </w:r>
          <w:r w:rsidRPr="00D861D9">
            <w:t>. ZIM Shipping, headquartered in Israel, operates multiple global offices including a branch in Norfolk, Virginia. Since 2001, the Norfolk location has served as the US headquarters for ZIM Shipping.</w:t>
          </w:r>
        </w:p>
        <w:p w14:paraId="3BCE0B86" w14:textId="77777777" w:rsidR="00D861D9" w:rsidRDefault="00D861D9" w:rsidP="00F02686">
          <w:pPr>
            <w:jc w:val="both"/>
          </w:pPr>
        </w:p>
        <w:p w14:paraId="6A9CF29D" w14:textId="3AE969D0" w:rsidR="00D861D9" w:rsidRDefault="00D861D9" w:rsidP="00F02686">
          <w:pPr>
            <w:ind w:firstLine="720"/>
            <w:jc w:val="both"/>
          </w:pPr>
          <w:r>
            <w:t>International shipping benefited greatly from the introduction of standardized shipping containers, with ZIM Shipping being one of the first carriers to adopt these containers</w:t>
          </w:r>
          <w:r w:rsidR="0016488D">
            <w:t>.</w:t>
          </w:r>
          <w:r>
            <w:t xml:space="preserve"> These steel containers interlock with each other and sit atop shipping vessels. There are different types of cargo that can be transported within these shipping containers: container cargo, dry bulk, liquid bulk, and breakbulk. Container cargo refers to products such as toys and televisions. Dry bulk refers to commodities like grain. Liquid bulk refers to types of oils. Breakbulk refers to products like steel rolls and parts of wind turbines.</w:t>
          </w:r>
        </w:p>
        <w:p w14:paraId="22145032" w14:textId="77777777" w:rsidR="00D861D9" w:rsidRDefault="00D861D9" w:rsidP="00F02686">
          <w:pPr>
            <w:jc w:val="both"/>
            <w:rPr>
              <w:b/>
              <w:bCs/>
            </w:rPr>
          </w:pPr>
        </w:p>
        <w:p w14:paraId="00555BDE" w14:textId="4785DC02" w:rsidR="00D861D9" w:rsidRDefault="00D861D9" w:rsidP="00F02686">
          <w:pPr>
            <w:jc w:val="both"/>
            <w:rPr>
              <w:b/>
              <w:bCs/>
            </w:rPr>
          </w:pPr>
          <w:r>
            <w:rPr>
              <w:b/>
              <w:bCs/>
            </w:rPr>
            <w:tab/>
          </w:r>
          <w:r>
            <w:t xml:space="preserve">At the end of 2019, the ZIM Shipping location in Norfolk employed approximately 280 employees. Most of the employees were involved in the booking, movement, and delivery of cargo for customers, and worked an average of 40 hours a week. The company continues to maintain the </w:t>
          </w:r>
          <w:r w:rsidR="00F02686">
            <w:t>facility</w:t>
          </w:r>
          <w:r w:rsidR="0016488D">
            <w:t>, has not incurred significant building expenses during the study period,</w:t>
          </w:r>
          <w:r w:rsidR="00F02686">
            <w:t xml:space="preserve"> and</w:t>
          </w:r>
          <w:r>
            <w:t xml:space="preserve"> has no plans for further expansion in Virginia.</w:t>
          </w:r>
          <w:r w:rsidR="003107F2">
            <w:t xml:space="preserve"> </w:t>
          </w:r>
          <w:r w:rsidR="0016488D">
            <w:t>ZIM Shipping also purchases approximately $20 million in products and services from Virginia sources.</w:t>
          </w:r>
        </w:p>
        <w:p w14:paraId="65B214FC" w14:textId="77777777" w:rsidR="00D861D9" w:rsidRDefault="00D861D9" w:rsidP="00F02686">
          <w:pPr>
            <w:jc w:val="both"/>
            <w:rPr>
              <w:b/>
              <w:bCs/>
            </w:rPr>
          </w:pPr>
        </w:p>
        <w:p w14:paraId="7BDBF05F" w14:textId="7BD101EE" w:rsidR="00D861D9" w:rsidRDefault="00D861D9" w:rsidP="0016488D">
          <w:pPr>
            <w:ind w:firstLine="720"/>
            <w:jc w:val="both"/>
            <w:rPr>
              <w:b/>
              <w:bCs/>
            </w:rPr>
          </w:pPr>
          <w:r>
            <w:t>We use</w:t>
          </w:r>
          <w:r w:rsidR="0016488D">
            <w:t xml:space="preserve"> the Bureau of Labor Statistics Regional Input-Output Modeling System (RIMS-II) for this analysis</w:t>
          </w:r>
          <w:r>
            <w:t>.</w:t>
          </w:r>
          <w:r w:rsidR="0016488D">
            <w:t xml:space="preserve"> RIMS-II contains employment and spending multipliers that allow the generation of static estimates of economic impact.</w:t>
          </w:r>
          <w:r>
            <w:t xml:space="preserve"> </w:t>
          </w:r>
          <w:r w:rsidR="0016488D">
            <w:t>A lack of specific information on the type of employees and composition of spending constrains the final analysis.</w:t>
          </w:r>
        </w:p>
        <w:p w14:paraId="3FA15928" w14:textId="77777777" w:rsidR="00D861D9" w:rsidRDefault="00D861D9" w:rsidP="00F02686">
          <w:pPr>
            <w:jc w:val="both"/>
            <w:rPr>
              <w:b/>
              <w:bCs/>
            </w:rPr>
          </w:pPr>
        </w:p>
        <w:p w14:paraId="2BE63C0F" w14:textId="041A50BD" w:rsidR="00D861D9" w:rsidRPr="0016488D" w:rsidRDefault="00697853" w:rsidP="0016488D">
          <w:pPr>
            <w:ind w:firstLine="720"/>
            <w:jc w:val="both"/>
          </w:pPr>
          <w:r>
            <w:t>Gross</w:t>
          </w:r>
          <w:r w:rsidR="00D861D9">
            <w:t xml:space="preserve"> output is a measure of the value of the production of goods and services in an area during a given period</w:t>
          </w:r>
          <w:r>
            <w:t>, including the production of intermediate and final goods</w:t>
          </w:r>
          <w:r w:rsidR="00D861D9" w:rsidRPr="00D861D9">
            <w:t xml:space="preserve">. </w:t>
          </w:r>
          <w:r w:rsidR="0016488D">
            <w:t xml:space="preserve">We explicitly assume that ZIM Shipping employees earn the median wage of the Port and Harbor Operations industry. We also assume </w:t>
          </w:r>
          <w:r w:rsidR="001F1677">
            <w:t>that</w:t>
          </w:r>
          <w:r w:rsidR="0016488D">
            <w:t xml:space="preserve"> other than the spending explicitly noted by ZIM Shipping occurring in the Commonwealth, that inputs are sourced from</w:t>
          </w:r>
          <w:r w:rsidR="00D861D9" w:rsidRPr="00D861D9">
            <w:t xml:space="preserve"> outside the Commonwealth and sales are made to customers outside Virginia.</w:t>
          </w:r>
          <w:r w:rsidR="003107F2">
            <w:t xml:space="preserve"> </w:t>
          </w:r>
          <w:r w:rsidR="00D861D9">
            <w:t xml:space="preserve">This approach also provides a more conservative estimate of the impact of ZIM Shipping’s operations on </w:t>
          </w:r>
          <w:r>
            <w:t xml:space="preserve">gross </w:t>
          </w:r>
          <w:r w:rsidR="00D861D9">
            <w:t>output in the Commonwealth.</w:t>
          </w:r>
        </w:p>
        <w:p w14:paraId="3A9ACDD6" w14:textId="77777777" w:rsidR="00D861D9" w:rsidRPr="00D861D9" w:rsidRDefault="00D861D9" w:rsidP="00F02686">
          <w:pPr>
            <w:jc w:val="both"/>
          </w:pPr>
        </w:p>
        <w:p w14:paraId="2083D590" w14:textId="7CA4B393" w:rsidR="00117B8A" w:rsidRDefault="00D861D9" w:rsidP="00117B8A">
          <w:pPr>
            <w:jc w:val="both"/>
            <w:rPr>
              <w:b/>
              <w:bCs/>
            </w:rPr>
          </w:pPr>
          <w:r w:rsidRPr="00D861D9">
            <w:tab/>
            <w:t>We estimate</w:t>
          </w:r>
          <w:r w:rsidR="00B9214C">
            <w:t xml:space="preserve"> </w:t>
          </w:r>
          <w:r w:rsidRPr="00D861D9">
            <w:t>the total economic impact of ZIM Shipping’s operations in the Commonwealth of Virginia to be approximately $</w:t>
          </w:r>
          <w:r w:rsidR="007E7254">
            <w:t>1,158.7</w:t>
          </w:r>
          <w:r w:rsidRPr="00D861D9">
            <w:t xml:space="preserve"> million in 2019 dollars over the 2009 to 2019 time period.</w:t>
          </w:r>
          <w:r w:rsidR="00697853">
            <w:t xml:space="preserve"> In other words, ZIM Shipping added approximately $1.16 billion to gross output over the study period.</w:t>
          </w:r>
          <w:r>
            <w:t xml:space="preserve"> </w:t>
          </w:r>
          <w:r w:rsidR="00515449">
            <w:t xml:space="preserve">The impact of ZIM employment and spending increased nonfarm payrolls in the Commonwealth by approximately 415 in 2019. In other words, there were 415 more jobs in Virginia in 2019 due to the presence of ZIM Shipping. </w:t>
          </w:r>
          <w:r>
            <w:t>On average, for every ZIM Shipping employee, an additional 0.46 jobs are created in Virginia.</w:t>
          </w:r>
        </w:p>
      </w:sdtContent>
    </w:sdt>
    <w:p w14:paraId="64D8BE32" w14:textId="742DEA56" w:rsidR="007F0CAC" w:rsidRDefault="008A2230" w:rsidP="00117B8A">
      <w:pPr>
        <w:spacing w:line="480" w:lineRule="auto"/>
        <w:jc w:val="both"/>
        <w:rPr>
          <w:b/>
          <w:bCs/>
        </w:rPr>
      </w:pPr>
      <w:r w:rsidRPr="008A2230">
        <w:rPr>
          <w:b/>
          <w:bCs/>
        </w:rPr>
        <w:lastRenderedPageBreak/>
        <w:t>Introduction</w:t>
      </w:r>
    </w:p>
    <w:p w14:paraId="6A057694" w14:textId="796A330C" w:rsidR="00B31384" w:rsidRPr="00884902" w:rsidRDefault="00B31384" w:rsidP="00117B8A">
      <w:pPr>
        <w:spacing w:line="480" w:lineRule="auto"/>
        <w:jc w:val="both"/>
      </w:pPr>
      <w:r>
        <w:tab/>
        <w:t>Z</w:t>
      </w:r>
      <w:r w:rsidR="00C429E4">
        <w:t>IM</w:t>
      </w:r>
      <w:r>
        <w:t xml:space="preserve"> Integrated Shipping Services Ltd. </w:t>
      </w:r>
      <w:r w:rsidR="00D861D9">
        <w:t xml:space="preserve">(ZIM Shipping) </w:t>
      </w:r>
      <w:r w:rsidR="00F52C1C">
        <w:t xml:space="preserve">is a container shipment carrier </w:t>
      </w:r>
      <w:r w:rsidR="00DC0671">
        <w:t>that o</w:t>
      </w:r>
      <w:r w:rsidR="00EE5446">
        <w:t>perates</w:t>
      </w:r>
      <w:r w:rsidR="00DC0671">
        <w:t xml:space="preserve"> a modern fleet </w:t>
      </w:r>
      <w:r w:rsidR="00381434">
        <w:t xml:space="preserve">of ships </w:t>
      </w:r>
      <w:r w:rsidR="00DC0671">
        <w:t xml:space="preserve">and </w:t>
      </w:r>
      <w:r w:rsidR="00D861D9">
        <w:t xml:space="preserve">services global routes </w:t>
      </w:r>
      <w:r w:rsidR="009C287C">
        <w:t xml:space="preserve">through </w:t>
      </w:r>
      <w:r w:rsidR="00DC0671">
        <w:t>a network of shipping lines</w:t>
      </w:r>
      <w:r w:rsidR="00D861D9">
        <w:t xml:space="preserve">. </w:t>
      </w:r>
      <w:r w:rsidR="00696476">
        <w:t xml:space="preserve">ZIM Shipping offers </w:t>
      </w:r>
      <w:r w:rsidR="007164A9">
        <w:t>cargo</w:t>
      </w:r>
      <w:r w:rsidR="00B531A3">
        <w:t xml:space="preserve"> </w:t>
      </w:r>
      <w:r w:rsidR="00D861D9">
        <w:t xml:space="preserve">sea and land </w:t>
      </w:r>
      <w:r w:rsidR="00696476">
        <w:t xml:space="preserve">carrier transportation services for </w:t>
      </w:r>
      <w:r w:rsidR="007164A9">
        <w:t>dry</w:t>
      </w:r>
      <w:r w:rsidR="00D861D9">
        <w:t>, refrigerated, and other goods. Like many cargo carriers, ZIM Shipping provides</w:t>
      </w:r>
      <w:r w:rsidR="006A6CDF">
        <w:t xml:space="preserve"> container tracking technology that allows customers to obtain real-time updates on </w:t>
      </w:r>
      <w:r w:rsidR="00D861D9">
        <w:t>cargo location and status</w:t>
      </w:r>
      <w:r w:rsidR="006A6CDF">
        <w:t>.</w:t>
      </w:r>
      <w:r w:rsidR="00EE1C98">
        <w:t xml:space="preserve"> </w:t>
      </w:r>
      <w:r w:rsidR="00B4321F">
        <w:t>ZIM</w:t>
      </w:r>
      <w:r w:rsidR="00D861D9">
        <w:t xml:space="preserve"> Shipping</w:t>
      </w:r>
      <w:r w:rsidR="00B4321F">
        <w:t xml:space="preserve">, </w:t>
      </w:r>
      <w:r w:rsidR="00D861D9">
        <w:t>headquartered</w:t>
      </w:r>
      <w:r w:rsidR="00B4321F">
        <w:t xml:space="preserve"> in Israel, </w:t>
      </w:r>
      <w:r w:rsidR="00467081">
        <w:t>operates multiple global</w:t>
      </w:r>
      <w:r w:rsidR="00884902">
        <w:t xml:space="preserve"> offices</w:t>
      </w:r>
      <w:r w:rsidR="00467081">
        <w:t xml:space="preserve"> including </w:t>
      </w:r>
      <w:r w:rsidR="00884902">
        <w:t>a branch in Norfolk, Virginia</w:t>
      </w:r>
      <w:r w:rsidR="00D861D9">
        <w:t>. Since 2001, the</w:t>
      </w:r>
      <w:r w:rsidR="0043760C">
        <w:t xml:space="preserve"> Norfolk location </w:t>
      </w:r>
      <w:r w:rsidR="00D861D9">
        <w:t>has served</w:t>
      </w:r>
      <w:r w:rsidR="0043760C">
        <w:t xml:space="preserve"> as the US headquarters for ZIM Shipping.</w:t>
      </w:r>
    </w:p>
    <w:p w14:paraId="5C53F88A" w14:textId="77777777" w:rsidR="00697853" w:rsidRDefault="007F0CAC" w:rsidP="00B96072">
      <w:pPr>
        <w:spacing w:line="480" w:lineRule="auto"/>
        <w:jc w:val="both"/>
      </w:pPr>
      <w:r>
        <w:rPr>
          <w:b/>
          <w:bCs/>
        </w:rPr>
        <w:tab/>
      </w:r>
      <w:r>
        <w:t xml:space="preserve">In this research note, we estimate the total economic impact of ZIM Shipping’s </w:t>
      </w:r>
      <w:r w:rsidR="00D861D9">
        <w:t>operation</w:t>
      </w:r>
      <w:r>
        <w:t xml:space="preserve">s in the Commonwealth of Virginia from </w:t>
      </w:r>
      <w:r w:rsidR="00D861D9">
        <w:t>2009</w:t>
      </w:r>
      <w:r>
        <w:t xml:space="preserve"> to </w:t>
      </w:r>
      <w:r w:rsidR="00D861D9">
        <w:t>2019</w:t>
      </w:r>
      <w:r>
        <w:t>.</w:t>
      </w:r>
      <w:r w:rsidR="000D04A0">
        <w:t xml:space="preserve"> </w:t>
      </w:r>
      <w:r w:rsidR="00D861D9">
        <w:t>T</w:t>
      </w:r>
      <w:r w:rsidR="000D04A0">
        <w:t>otal economic impact is an estimate of the incremental increase in economic activity and employment in Virginia</w:t>
      </w:r>
      <w:r w:rsidR="00D27C92">
        <w:t>, that is, how much ZIM Shipping contributed to output</w:t>
      </w:r>
      <w:r w:rsidR="00B96072">
        <w:rPr>
          <w:rStyle w:val="FootnoteReference"/>
        </w:rPr>
        <w:footnoteReference w:id="1"/>
      </w:r>
      <w:r w:rsidR="00D27C92">
        <w:t xml:space="preserve"> in Virginia over this period.</w:t>
      </w:r>
      <w:r w:rsidR="006A66D3">
        <w:t xml:space="preserve"> </w:t>
      </w:r>
      <w:r w:rsidR="00B96072">
        <w:t xml:space="preserve">ZIM Shipping had two distinct impacts during the study period: employment and spending. First, ZIM Shipping employs Virginia residents, who, in turn, spend money in the Commonwealth, creating additional jobs and increasing economic activity. Second, ZIM Shipping purchases goods and services from businesses and individuals in Virginia. This spending ripples throughout the economy, raising economic activity and employment. </w:t>
      </w:r>
    </w:p>
    <w:p w14:paraId="6EA2F39D" w14:textId="66C85591" w:rsidR="00B31384" w:rsidRPr="00B96072" w:rsidRDefault="00B96072" w:rsidP="00697853">
      <w:pPr>
        <w:spacing w:line="480" w:lineRule="auto"/>
        <w:ind w:firstLine="720"/>
        <w:jc w:val="both"/>
      </w:pPr>
      <w:r>
        <w:t>W</w:t>
      </w:r>
      <w:r w:rsidR="00C05D5A" w:rsidRPr="00D861D9">
        <w:t>e estimate that the total economic impact of ZIM Shipping’s operations in the Commonwealth of Virginia to be approximately $</w:t>
      </w:r>
      <w:r w:rsidR="003107F2">
        <w:t>1,158</w:t>
      </w:r>
      <w:r w:rsidR="00C05D5A" w:rsidRPr="00D861D9">
        <w:t>.</w:t>
      </w:r>
      <w:r w:rsidR="003107F2">
        <w:t>7</w:t>
      </w:r>
      <w:r w:rsidR="00C05D5A" w:rsidRPr="00D861D9">
        <w:t xml:space="preserve"> million in 2019 dollars over the 2009 to 2019 time period.</w:t>
      </w:r>
      <w:r w:rsidR="00697853">
        <w:t xml:space="preserve"> This estimate includes the impact of ZIM Shipping employment and spending </w:t>
      </w:r>
      <w:r w:rsidR="00697853">
        <w:lastRenderedPageBreak/>
        <w:t>in the Commonwealth.</w:t>
      </w:r>
      <w:r w:rsidR="00C05D5A">
        <w:t xml:space="preserve"> F</w:t>
      </w:r>
      <w:r w:rsidR="00D861D9">
        <w:t>or every job created by ZIM Shipping, a</w:t>
      </w:r>
      <w:r w:rsidR="00A43DCA">
        <w:t>pproximately</w:t>
      </w:r>
      <w:r w:rsidR="00D861D9">
        <w:t xml:space="preserve"> 0.46 </w:t>
      </w:r>
      <w:r w:rsidR="00A43DCA">
        <w:t xml:space="preserve">additional </w:t>
      </w:r>
      <w:r w:rsidR="00D861D9">
        <w:t>jobs are created in Virginia.</w:t>
      </w:r>
      <w:r w:rsidR="00C05D5A">
        <w:t xml:space="preserve"> </w:t>
      </w:r>
    </w:p>
    <w:p w14:paraId="7C68C4CB" w14:textId="77777777" w:rsidR="00D861D9" w:rsidRPr="00C80B18" w:rsidRDefault="002D78A3" w:rsidP="00F02686">
      <w:pPr>
        <w:spacing w:line="480" w:lineRule="auto"/>
        <w:jc w:val="both"/>
      </w:pPr>
      <w:r>
        <w:rPr>
          <w:color w:val="FF0000"/>
        </w:rPr>
        <w:tab/>
      </w:r>
      <w:r>
        <w:t>The remainder of this note is structured as follows</w:t>
      </w:r>
      <w:r w:rsidR="00916B50">
        <w:t>:</w:t>
      </w:r>
      <w:r>
        <w:t xml:space="preserve"> In the second section, we briefly review the operations of ZIM Shipping in Virginia</w:t>
      </w:r>
      <w:r w:rsidR="00916B50">
        <w:t>;</w:t>
      </w:r>
      <w:r>
        <w:t xml:space="preserve"> We then discuss the methodology and </w:t>
      </w:r>
      <w:r w:rsidR="0028400F">
        <w:t>the assumptions underlying the economic impact estimates in the third section</w:t>
      </w:r>
      <w:r w:rsidR="00916B50">
        <w:t>; finally, th</w:t>
      </w:r>
      <w:r w:rsidR="0028400F">
        <w:t xml:space="preserve">e fourth section presents the economic impact estimates. </w:t>
      </w:r>
    </w:p>
    <w:p w14:paraId="5A529C33" w14:textId="1AC8E8EB" w:rsidR="00CE4ED5" w:rsidRDefault="00CE4ED5" w:rsidP="00F02686">
      <w:pPr>
        <w:spacing w:line="480" w:lineRule="auto"/>
        <w:jc w:val="both"/>
        <w:rPr>
          <w:b/>
          <w:bCs/>
        </w:rPr>
      </w:pPr>
      <w:r>
        <w:rPr>
          <w:b/>
          <w:bCs/>
        </w:rPr>
        <w:t>A Brief Background on Container Shipping</w:t>
      </w:r>
    </w:p>
    <w:p w14:paraId="2E3F457E" w14:textId="115EC188" w:rsidR="00CE4ED5" w:rsidRDefault="00CE4ED5" w:rsidP="00F02686">
      <w:pPr>
        <w:spacing w:line="480" w:lineRule="auto"/>
        <w:jc w:val="both"/>
      </w:pPr>
      <w:r>
        <w:tab/>
      </w:r>
      <w:r w:rsidR="00510391">
        <w:t>International shipping</w:t>
      </w:r>
      <w:r w:rsidR="0026357C">
        <w:t xml:space="preserve"> benefited greatly from the introduction of</w:t>
      </w:r>
      <w:r w:rsidR="00D861D9">
        <w:t xml:space="preserve"> standardized shipping</w:t>
      </w:r>
      <w:r w:rsidR="0026357C">
        <w:t xml:space="preserve"> </w:t>
      </w:r>
      <w:r w:rsidR="00510391">
        <w:t>containers,</w:t>
      </w:r>
      <w:r w:rsidR="003C5ACB">
        <w:t xml:space="preserve"> with</w:t>
      </w:r>
      <w:r w:rsidR="00510391">
        <w:t xml:space="preserve"> ZIM Shipping</w:t>
      </w:r>
      <w:r w:rsidR="003C5ACB">
        <w:t xml:space="preserve"> being</w:t>
      </w:r>
      <w:r w:rsidR="00510391">
        <w:t xml:space="preserve"> one of the first carriers to </w:t>
      </w:r>
      <w:r w:rsidR="00EA0D7E">
        <w:t>adopt the</w:t>
      </w:r>
      <w:r w:rsidR="00D861D9">
        <w:t>se</w:t>
      </w:r>
      <w:r w:rsidR="00EA0D7E">
        <w:t xml:space="preserve"> containers. These </w:t>
      </w:r>
      <w:r w:rsidR="00BD405B">
        <w:t xml:space="preserve">steel </w:t>
      </w:r>
      <w:r w:rsidR="00EA0D7E">
        <w:t>containers</w:t>
      </w:r>
      <w:r w:rsidR="003C5ACB">
        <w:t xml:space="preserve"> </w:t>
      </w:r>
      <w:r w:rsidR="00EA0D7E">
        <w:t>interlock with each other and sit atop shipping vessels</w:t>
      </w:r>
      <w:r w:rsidR="00D861D9">
        <w:t>. The ships are on and off loaded by crane</w:t>
      </w:r>
      <w:r w:rsidR="00916B50">
        <w:t>,</w:t>
      </w:r>
      <w:r w:rsidR="00D861D9">
        <w:t xml:space="preserve"> and the steel containers move by truck, rail, or barge to their final destination</w:t>
      </w:r>
      <w:r w:rsidR="00EA0D7E">
        <w:t xml:space="preserve">. The </w:t>
      </w:r>
      <w:r w:rsidR="00985367">
        <w:t>two indust</w:t>
      </w:r>
      <w:r w:rsidR="00677644">
        <w:t>r</w:t>
      </w:r>
      <w:r w:rsidR="00985367">
        <w:t>y</w:t>
      </w:r>
      <w:r w:rsidR="00677644">
        <w:t xml:space="preserve"> </w:t>
      </w:r>
      <w:r w:rsidR="00985367">
        <w:t xml:space="preserve">standard measures </w:t>
      </w:r>
      <w:r w:rsidR="00677644">
        <w:t xml:space="preserve">are the </w:t>
      </w:r>
      <w:r w:rsidR="00EA0D7E">
        <w:t>twenty-foot equivalent</w:t>
      </w:r>
      <w:r w:rsidR="00205754">
        <w:t xml:space="preserve"> unit</w:t>
      </w:r>
      <w:r w:rsidR="00EA0D7E">
        <w:t xml:space="preserve"> (TEU)</w:t>
      </w:r>
      <w:r w:rsidR="00A0431E">
        <w:t>, about 6 meters,</w:t>
      </w:r>
      <w:r w:rsidR="00677644">
        <w:t xml:space="preserve"> and the forty-foot equivalent unit (FEU)</w:t>
      </w:r>
      <w:r w:rsidR="00205754">
        <w:t xml:space="preserve">, which </w:t>
      </w:r>
      <w:r w:rsidR="00677644">
        <w:t>is sometimes referenced as 2 TEU</w:t>
      </w:r>
      <w:r w:rsidR="007032F8">
        <w:t>.</w:t>
      </w:r>
      <w:r w:rsidR="007032F8">
        <w:rPr>
          <w:rStyle w:val="FootnoteReference"/>
        </w:rPr>
        <w:footnoteReference w:id="2"/>
      </w:r>
      <w:r w:rsidR="007032F8">
        <w:t xml:space="preserve"> </w:t>
      </w:r>
      <w:proofErr w:type="gramStart"/>
      <w:r w:rsidR="007032F8">
        <w:t>These reference</w:t>
      </w:r>
      <w:proofErr w:type="gramEnd"/>
      <w:r w:rsidR="007032F8">
        <w:t xml:space="preserve"> </w:t>
      </w:r>
      <w:r w:rsidR="00C2417E">
        <w:t xml:space="preserve">both </w:t>
      </w:r>
      <w:r w:rsidR="007032F8">
        <w:t>the container</w:t>
      </w:r>
      <w:r w:rsidR="00C2417E">
        <w:t>’s</w:t>
      </w:r>
      <w:r w:rsidR="007032F8">
        <w:t xml:space="preserve"> capacity</w:t>
      </w:r>
      <w:r w:rsidR="00C2417E">
        <w:t xml:space="preserve"> as well as a ship’s capacity, </w:t>
      </w:r>
      <w:r w:rsidR="00CD5293">
        <w:t xml:space="preserve">i.e., </w:t>
      </w:r>
      <w:r w:rsidR="00C2417E">
        <w:t xml:space="preserve">how many TEUs the vessel holds. </w:t>
      </w:r>
      <w:r w:rsidR="00CD5293">
        <w:t>This i</w:t>
      </w:r>
      <w:r w:rsidR="00187010">
        <w:t>ndus</w:t>
      </w:r>
      <w:r w:rsidR="00CD5293">
        <w:t xml:space="preserve">try standard for size allows for ease in pricing. </w:t>
      </w:r>
    </w:p>
    <w:p w14:paraId="4C59BB01" w14:textId="77777777" w:rsidR="00D012E6" w:rsidRPr="00CE4ED5" w:rsidRDefault="00D012E6" w:rsidP="00F02686">
      <w:pPr>
        <w:spacing w:line="480" w:lineRule="auto"/>
        <w:jc w:val="both"/>
      </w:pPr>
      <w:r>
        <w:tab/>
        <w:t xml:space="preserve">There are different types of cargo </w:t>
      </w:r>
      <w:r w:rsidR="000E0F1E">
        <w:t xml:space="preserve">that can be transported </w:t>
      </w:r>
      <w:r>
        <w:t xml:space="preserve">within these shipping containers: container cargo, dry bulk, liquid bulk, </w:t>
      </w:r>
      <w:r w:rsidR="005B075A">
        <w:t>and breakbulk. Container cargo refers to products such as toys and televisions</w:t>
      </w:r>
      <w:r w:rsidR="00D861D9">
        <w:t>. D</w:t>
      </w:r>
      <w:r w:rsidR="005B075A">
        <w:t xml:space="preserve">ry bulk refers to </w:t>
      </w:r>
      <w:r w:rsidR="00D861D9">
        <w:t>commodities</w:t>
      </w:r>
      <w:r w:rsidR="00187010">
        <w:t xml:space="preserve"> like grain</w:t>
      </w:r>
      <w:r w:rsidR="00D861D9">
        <w:t>. L</w:t>
      </w:r>
      <w:r w:rsidR="00187010">
        <w:t>iquid bulk refers to types of oils</w:t>
      </w:r>
      <w:r w:rsidR="00D861D9">
        <w:t>. B</w:t>
      </w:r>
      <w:r w:rsidR="00187010">
        <w:t xml:space="preserve">reakbulk refers to </w:t>
      </w:r>
      <w:r w:rsidR="00427870">
        <w:t xml:space="preserve">products like </w:t>
      </w:r>
      <w:r w:rsidR="00187010">
        <w:t xml:space="preserve">steel </w:t>
      </w:r>
      <w:r w:rsidR="00427870">
        <w:t>rolls and parts of wind turbines.</w:t>
      </w:r>
      <w:r w:rsidR="00427870">
        <w:rPr>
          <w:rStyle w:val="FootnoteReference"/>
        </w:rPr>
        <w:footnoteReference w:id="3"/>
      </w:r>
      <w:r w:rsidR="00427870">
        <w:t xml:space="preserve"> </w:t>
      </w:r>
    </w:p>
    <w:p w14:paraId="2967F31A" w14:textId="49845972" w:rsidR="00D861D9" w:rsidRDefault="009C287C" w:rsidP="00F02686">
      <w:pPr>
        <w:spacing w:line="480" w:lineRule="auto"/>
        <w:jc w:val="both"/>
      </w:pPr>
      <w:r>
        <w:rPr>
          <w:b/>
          <w:bCs/>
        </w:rPr>
        <w:lastRenderedPageBreak/>
        <w:tab/>
      </w:r>
      <w:r w:rsidR="00D861D9">
        <w:t>The global market for container shipping was valued at $6</w:t>
      </w:r>
      <w:r w:rsidR="00916B50">
        <w:t>,</w:t>
      </w:r>
      <w:r w:rsidR="00D861D9">
        <w:t>742 million USD in 2018 and is expected to reach $11</w:t>
      </w:r>
      <w:r w:rsidR="00916B50">
        <w:t>,</w:t>
      </w:r>
      <w:r w:rsidR="00D861D9">
        <w:t>406 million by 2025, boasting a 7.8% CAGR over the forecasted period.</w:t>
      </w:r>
      <w:r w:rsidR="00D861D9">
        <w:rPr>
          <w:rStyle w:val="FootnoteReference"/>
        </w:rPr>
        <w:footnoteReference w:id="4"/>
      </w:r>
      <w:r w:rsidR="00D861D9">
        <w:t xml:space="preserve"> The market is not without challenges. Demand for ships with cleaner emissions has led </w:t>
      </w:r>
      <w:r w:rsidR="006A66D3">
        <w:t>to increases</w:t>
      </w:r>
      <w:r w:rsidR="00D861D9">
        <w:t xml:space="preserve"> in fuel prices. </w:t>
      </w:r>
      <w:r w:rsidR="00C23533">
        <w:t xml:space="preserve">Many shipping companies are offsetting these increases by </w:t>
      </w:r>
      <w:r w:rsidR="00916B50">
        <w:t>raising</w:t>
      </w:r>
      <w:r w:rsidR="00C23533">
        <w:t xml:space="preserve"> price</w:t>
      </w:r>
      <w:r w:rsidR="00D861D9">
        <w:t>s</w:t>
      </w:r>
      <w:r w:rsidR="00C23533">
        <w:t xml:space="preserve"> to carry cargo</w:t>
      </w:r>
      <w:r w:rsidR="00D861D9">
        <w:t>.</w:t>
      </w:r>
      <w:r w:rsidR="00A811F3">
        <w:t xml:space="preserve"> </w:t>
      </w:r>
      <w:r w:rsidR="003E0413">
        <w:t xml:space="preserve">Another ongoing issue plaguing international trade is the imposition of tariffs in trade between the US and China and the uncertainty of future trade, causing carriers to adjust to shrinking markets. </w:t>
      </w:r>
      <w:r w:rsidR="002F3E1C">
        <w:t xml:space="preserve">More recent </w:t>
      </w:r>
      <w:r w:rsidR="004B736F">
        <w:t>reports</w:t>
      </w:r>
      <w:r w:rsidR="00D861D9">
        <w:t>, however,</w:t>
      </w:r>
      <w:r w:rsidR="004B736F">
        <w:t xml:space="preserve"> find that </w:t>
      </w:r>
      <w:r w:rsidR="00620E9F">
        <w:t>the industry has started to recover, with m</w:t>
      </w:r>
      <w:r w:rsidR="00D861D9">
        <w:t>any shipping</w:t>
      </w:r>
      <w:r w:rsidR="00620E9F">
        <w:t xml:space="preserve"> companies reporting increases in volume </w:t>
      </w:r>
      <w:r w:rsidR="00D861D9">
        <w:t xml:space="preserve">in </w:t>
      </w:r>
      <w:r w:rsidR="00620E9F">
        <w:t>2019.</w:t>
      </w:r>
      <w:r w:rsidR="002F3E1C">
        <w:t xml:space="preserve"> </w:t>
      </w:r>
    </w:p>
    <w:p w14:paraId="13E5E8D7" w14:textId="77777777" w:rsidR="00CF7EF3" w:rsidRDefault="008A2230" w:rsidP="00F02686">
      <w:pPr>
        <w:spacing w:line="480" w:lineRule="auto"/>
        <w:jc w:val="both"/>
      </w:pPr>
      <w:r>
        <w:rPr>
          <w:b/>
          <w:bCs/>
        </w:rPr>
        <w:t xml:space="preserve">A Brief Background on </w:t>
      </w:r>
      <w:r w:rsidR="00C429E4">
        <w:rPr>
          <w:b/>
          <w:bCs/>
        </w:rPr>
        <w:t>ZIM</w:t>
      </w:r>
      <w:r>
        <w:rPr>
          <w:b/>
          <w:bCs/>
        </w:rPr>
        <w:t xml:space="preserve"> Shipping</w:t>
      </w:r>
    </w:p>
    <w:p w14:paraId="1B71D22A" w14:textId="271C0C1C" w:rsidR="00975986" w:rsidRPr="002479BB" w:rsidRDefault="000B0B3C" w:rsidP="00F02686">
      <w:pPr>
        <w:spacing w:line="480" w:lineRule="auto"/>
        <w:ind w:firstLine="720"/>
        <w:jc w:val="both"/>
      </w:pPr>
      <w:r>
        <w:t>Founded in 1945</w:t>
      </w:r>
      <w:r w:rsidR="00123F65">
        <w:t xml:space="preserve"> in Isra</w:t>
      </w:r>
      <w:r w:rsidR="00D861D9">
        <w:t>e</w:t>
      </w:r>
      <w:r w:rsidR="00123F65">
        <w:t>l</w:t>
      </w:r>
      <w:r>
        <w:t xml:space="preserve">, ZIM Shipping </w:t>
      </w:r>
      <w:r w:rsidR="00D861D9">
        <w:t>launched</w:t>
      </w:r>
      <w:r w:rsidR="00A97688">
        <w:t xml:space="preserve"> freight and passenger services</w:t>
      </w:r>
      <w:r w:rsidR="00D861D9">
        <w:t xml:space="preserve"> in 1953</w:t>
      </w:r>
      <w:r w:rsidR="00A97688">
        <w:t xml:space="preserve">. </w:t>
      </w:r>
      <w:r w:rsidR="00D861D9">
        <w:t>ZIM Shipping discontinued its passenger transportation services</w:t>
      </w:r>
      <w:r w:rsidR="00A97688">
        <w:t xml:space="preserve"> in the 1960s</w:t>
      </w:r>
      <w:r w:rsidR="00D861D9">
        <w:t xml:space="preserve"> to focus </w:t>
      </w:r>
      <w:r w:rsidR="00C82FDA">
        <w:t>on international</w:t>
      </w:r>
      <w:r w:rsidR="00AF2093">
        <w:t xml:space="preserve"> cargo shipping. In the 1970s, ZIM moved into the container shipping industry and expanded ship capacity again </w:t>
      </w:r>
      <w:r w:rsidR="00D861D9">
        <w:t xml:space="preserve">in </w:t>
      </w:r>
      <w:r w:rsidR="00AF2093">
        <w:t xml:space="preserve">the 1980s. </w:t>
      </w:r>
      <w:r w:rsidR="00ED7821">
        <w:t xml:space="preserve">ZIM Shipping is currently </w:t>
      </w:r>
      <w:r w:rsidR="00D861D9">
        <w:t xml:space="preserve">privately owned with its largest shareholder, </w:t>
      </w:r>
      <w:proofErr w:type="spellStart"/>
      <w:r w:rsidR="00D861D9">
        <w:t>Kenon</w:t>
      </w:r>
      <w:proofErr w:type="spellEnd"/>
      <w:r w:rsidR="00D861D9">
        <w:t xml:space="preserve"> Ltd, holding a 32% stake in the company</w:t>
      </w:r>
      <w:r w:rsidR="0088424E">
        <w:t>.</w:t>
      </w:r>
      <w:r w:rsidR="0088424E">
        <w:rPr>
          <w:rStyle w:val="FootnoteReference"/>
        </w:rPr>
        <w:footnoteReference w:id="5"/>
      </w:r>
      <w:r w:rsidR="00C06FCA">
        <w:t xml:space="preserve"> </w:t>
      </w:r>
      <w:r w:rsidR="0083794C">
        <w:t xml:space="preserve">ZIM Shipping </w:t>
      </w:r>
      <w:r w:rsidR="00D861D9">
        <w:t>has</w:t>
      </w:r>
      <w:r w:rsidR="00C42E96">
        <w:t xml:space="preserve"> over 170 offices </w:t>
      </w:r>
      <w:r w:rsidR="00D861D9">
        <w:t>in</w:t>
      </w:r>
      <w:r w:rsidR="00C42E96">
        <w:t xml:space="preserve"> 100 countries</w:t>
      </w:r>
      <w:r w:rsidR="00916B50">
        <w:t xml:space="preserve"> around the world</w:t>
      </w:r>
      <w:r w:rsidR="00C42E96">
        <w:t xml:space="preserve">. ZIM Shipping </w:t>
      </w:r>
      <w:r w:rsidR="008E295E">
        <w:t>operates out of</w:t>
      </w:r>
      <w:r w:rsidR="00C42E96">
        <w:t xml:space="preserve"> over 180 ports of call</w:t>
      </w:r>
      <w:r w:rsidR="008E295E">
        <w:t xml:space="preserve"> with 100 lines and services on about 70 operated vessels.</w:t>
      </w:r>
      <w:r w:rsidR="00381EA2">
        <w:t xml:space="preserve"> In 2018, ZIM Shipping’s annual turnover was $3,247</w:t>
      </w:r>
      <w:r w:rsidR="00916B50">
        <w:t xml:space="preserve"> million</w:t>
      </w:r>
      <w:r w:rsidR="00111857">
        <w:t xml:space="preserve"> and </w:t>
      </w:r>
      <w:r w:rsidR="00AD43D8">
        <w:t xml:space="preserve">its vessels </w:t>
      </w:r>
      <w:r w:rsidR="00111857">
        <w:t>carried</w:t>
      </w:r>
      <w:r w:rsidR="00AD43D8">
        <w:t xml:space="preserve"> 2</w:t>
      </w:r>
      <w:r w:rsidR="00916B50">
        <w:t>.914 million</w:t>
      </w:r>
      <w:r w:rsidR="00AD43D8">
        <w:t xml:space="preserve"> TEU’s.</w:t>
      </w:r>
      <w:r w:rsidR="00DC59B1">
        <w:t xml:space="preserve"> When compared to September 2018 numbers, September 2019 total revenues increased by 3.2%</w:t>
      </w:r>
      <w:r w:rsidR="00D861D9">
        <w:t>.</w:t>
      </w:r>
      <w:r w:rsidR="009F16FB">
        <w:rPr>
          <w:rStyle w:val="FootnoteReference"/>
        </w:rPr>
        <w:footnoteReference w:id="6"/>
      </w:r>
      <w:r w:rsidR="00A4143C">
        <w:t xml:space="preserve"> </w:t>
      </w:r>
      <w:r w:rsidR="009B613D">
        <w:t xml:space="preserve"> </w:t>
      </w:r>
      <w:r w:rsidR="00127AB1">
        <w:t xml:space="preserve">ZIM Shipping offers container services for dry cargo, reefer cargo (refrigeration needs), and project cargo (breakbulk). </w:t>
      </w:r>
    </w:p>
    <w:p w14:paraId="78984356" w14:textId="77777777" w:rsidR="008A2230" w:rsidRDefault="008A2230" w:rsidP="00F02686">
      <w:pPr>
        <w:spacing w:line="480" w:lineRule="auto"/>
        <w:jc w:val="both"/>
        <w:rPr>
          <w:b/>
          <w:bCs/>
        </w:rPr>
      </w:pPr>
      <w:r>
        <w:rPr>
          <w:b/>
          <w:bCs/>
        </w:rPr>
        <w:lastRenderedPageBreak/>
        <w:t>Z</w:t>
      </w:r>
      <w:r w:rsidR="00C429E4">
        <w:rPr>
          <w:b/>
          <w:bCs/>
        </w:rPr>
        <w:t xml:space="preserve">IM </w:t>
      </w:r>
      <w:r>
        <w:rPr>
          <w:b/>
          <w:bCs/>
        </w:rPr>
        <w:t>Shipping’s Operations in the Commonwealth of Virginia</w:t>
      </w:r>
    </w:p>
    <w:p w14:paraId="3CD26600" w14:textId="116B8B73" w:rsidR="00A43DCA" w:rsidRDefault="00B84AF3" w:rsidP="00A43DCA">
      <w:pPr>
        <w:spacing w:line="480" w:lineRule="auto"/>
        <w:jc w:val="both"/>
      </w:pPr>
      <w:r>
        <w:tab/>
      </w:r>
      <w:r w:rsidR="00E06722">
        <w:t xml:space="preserve">In 2001, ZIM Shipping started </w:t>
      </w:r>
      <w:r w:rsidR="00CF34AC">
        <w:t xml:space="preserve">scouting locations to build a facility that met customer demand and put the company in the best place to fulfil </w:t>
      </w:r>
      <w:r w:rsidR="00916B50">
        <w:t>its</w:t>
      </w:r>
      <w:r w:rsidR="00F53D0C">
        <w:t xml:space="preserve"> long-term business goals.</w:t>
      </w:r>
      <w:r w:rsidR="00710358">
        <w:rPr>
          <w:rStyle w:val="FootnoteReference"/>
        </w:rPr>
        <w:footnoteReference w:id="7"/>
      </w:r>
      <w:r w:rsidR="00F53D0C">
        <w:t xml:space="preserve"> Choosing Norfolk was an attractive choice for ZIM Shipping</w:t>
      </w:r>
      <w:r w:rsidR="002A6B25">
        <w:t xml:space="preserve">, </w:t>
      </w:r>
      <w:r w:rsidR="002E0917">
        <w:t>offering a place where the company could accomplish both sea and land transportation</w:t>
      </w:r>
      <w:r w:rsidR="00032E11">
        <w:t xml:space="preserve"> while</w:t>
      </w:r>
      <w:r w:rsidR="005E3CC9">
        <w:t xml:space="preserve"> enjoying tax benefits and lower workforce costs</w:t>
      </w:r>
      <w:r w:rsidR="002E0917">
        <w:t>.</w:t>
      </w:r>
      <w:r w:rsidR="002A2FB9" w:rsidRPr="002A2FB9">
        <w:t xml:space="preserve"> </w:t>
      </w:r>
      <w:r w:rsidR="002A2FB9">
        <w:t>ZIM Shipping invested approximately $6.2 million in</w:t>
      </w:r>
      <w:r w:rsidR="002F5CD7">
        <w:t xml:space="preserve"> the</w:t>
      </w:r>
      <w:r w:rsidR="002A2FB9">
        <w:t xml:space="preserve"> construction and furnishing of the Norfolk facility in 2001. The company continues to maintain the facilit</w:t>
      </w:r>
      <w:r w:rsidR="00916B50">
        <w:t>y</w:t>
      </w:r>
      <w:r w:rsidR="002A2FB9">
        <w:t xml:space="preserve"> and has no plans for further expansion in Virginia. </w:t>
      </w:r>
    </w:p>
    <w:p w14:paraId="6F7175CD" w14:textId="078E8CFB" w:rsidR="00A43DCA" w:rsidRDefault="00A43DCA" w:rsidP="00A43DCA">
      <w:pPr>
        <w:spacing w:line="480" w:lineRule="auto"/>
        <w:ind w:firstLine="720"/>
        <w:jc w:val="both"/>
      </w:pPr>
      <w:r>
        <w:t xml:space="preserve">ZIM Shipping’s branch in Norfolk serves as the company’s US Headquarters for shipping operations. This branch provides services relating to the booking, movement, and delivery of cargo. </w:t>
      </w:r>
      <w:r w:rsidR="00EC4606" w:rsidRPr="00EC4606">
        <w:t>“The Norfolk office also contains ZIM’s regional and national logistics, trade, and IT operational controls.”</w:t>
      </w:r>
      <w:r>
        <w:t>.</w:t>
      </w:r>
      <w:r>
        <w:rPr>
          <w:rStyle w:val="FootnoteReference"/>
        </w:rPr>
        <w:footnoteReference w:id="8"/>
      </w:r>
      <w:r>
        <w:t xml:space="preserve"> </w:t>
      </w:r>
      <w:r w:rsidR="00355D84" w:rsidRPr="00355D84">
        <w:t>ZIM Shipping expended in Virginia approximately on average $7 million annually from 2009 to</w:t>
      </w:r>
      <w:r w:rsidR="00355D84">
        <w:t xml:space="preserve"> </w:t>
      </w:r>
      <w:r w:rsidR="00355D84" w:rsidRPr="00355D84">
        <w:t>2014 on goods and services. Starting in 2015, ZIM Shipping spending in Virginia increased to an average of $20 million annually due to an increase in the number of port calls to Norfolk</w:t>
      </w:r>
      <w:r w:rsidR="00355D84">
        <w:t>.</w:t>
      </w:r>
    </w:p>
    <w:p w14:paraId="5F8EAC81" w14:textId="3114BDAB" w:rsidR="00014BDF" w:rsidRDefault="00F01DB3" w:rsidP="00F02686">
      <w:pPr>
        <w:spacing w:line="480" w:lineRule="auto"/>
        <w:jc w:val="both"/>
      </w:pPr>
      <w:r>
        <w:tab/>
      </w:r>
      <w:r w:rsidR="00032E11">
        <w:t xml:space="preserve"> </w:t>
      </w:r>
      <w:r w:rsidR="002A2FB9">
        <w:t xml:space="preserve">At the end of 2019, the ZIM Shipping location in </w:t>
      </w:r>
      <w:r w:rsidR="00D861D9">
        <w:t>Norfolk</w:t>
      </w:r>
      <w:r w:rsidR="002A2FB9">
        <w:t xml:space="preserve"> employed approximately </w:t>
      </w:r>
      <w:r w:rsidR="00DC3797">
        <w:t xml:space="preserve">280 employees. Most of the employees </w:t>
      </w:r>
      <w:r w:rsidR="00E31601">
        <w:t>were</w:t>
      </w:r>
      <w:r w:rsidR="00DC3797">
        <w:t xml:space="preserve"> involved in the booking, movement, and delivery of cargo for customers, and wor</w:t>
      </w:r>
      <w:r w:rsidR="00E31601">
        <w:t>ked</w:t>
      </w:r>
      <w:r w:rsidR="00D861D9">
        <w:t xml:space="preserve"> an average of 40 </w:t>
      </w:r>
      <w:r w:rsidR="00E31601">
        <w:t xml:space="preserve">hours a week. </w:t>
      </w:r>
      <w:r w:rsidR="00204AF9">
        <w:t xml:space="preserve">The Bureau of Labor Statistics tracks average weekly wages of all employees in support activity for </w:t>
      </w:r>
      <w:r w:rsidR="00916B50">
        <w:t xml:space="preserve">the </w:t>
      </w:r>
      <w:r w:rsidR="00204AF9">
        <w:t>water transportation sector</w:t>
      </w:r>
      <w:r w:rsidR="00916B50">
        <w:t>,</w:t>
      </w:r>
      <w:r w:rsidR="00204AF9">
        <w:t xml:space="preserve"> as well as average weekly wages in total private nonfarm employment</w:t>
      </w:r>
      <w:r w:rsidR="00DA6CE1">
        <w:t xml:space="preserve">. Average weekly </w:t>
      </w:r>
      <w:r w:rsidR="00DA6CE1">
        <w:lastRenderedPageBreak/>
        <w:t xml:space="preserve">wages in the support activity for water transportation in Norfolk were higher than average weekly wages in total private nonfarm employment in Norfolk, in part due to the presence of ZIM Shipping’s operations. </w:t>
      </w:r>
      <w:r w:rsidR="00D861D9">
        <w:t>In 2018, average weekly wages in the support activity for water transportation were $1,610 in Norfolk compared to $990 for total private nonfarm employment.</w:t>
      </w:r>
      <w:r w:rsidR="00D861D9">
        <w:rPr>
          <w:rStyle w:val="FootnoteReference"/>
        </w:rPr>
        <w:footnoteReference w:id="9"/>
      </w:r>
    </w:p>
    <w:p w14:paraId="693273FD" w14:textId="0286FC2C" w:rsidR="00F46F8E" w:rsidRPr="00DB6983" w:rsidRDefault="00F46F8E" w:rsidP="00F46F8E">
      <w:pPr>
        <w:spacing w:line="480" w:lineRule="auto"/>
        <w:jc w:val="both"/>
        <w:rPr>
          <w:b/>
          <w:bCs/>
        </w:rPr>
      </w:pPr>
      <w:r>
        <w:rPr>
          <w:b/>
          <w:bCs/>
        </w:rPr>
        <w:t>ZIM Shipping</w:t>
      </w:r>
      <w:r w:rsidR="00955B95">
        <w:rPr>
          <w:b/>
          <w:bCs/>
        </w:rPr>
        <w:t xml:space="preserve"> and the Shipping </w:t>
      </w:r>
      <w:r>
        <w:rPr>
          <w:b/>
          <w:bCs/>
        </w:rPr>
        <w:t>Industry</w:t>
      </w:r>
      <w:r w:rsidR="00955B95">
        <w:rPr>
          <w:b/>
          <w:bCs/>
        </w:rPr>
        <w:t>’s</w:t>
      </w:r>
      <w:r>
        <w:rPr>
          <w:b/>
          <w:bCs/>
        </w:rPr>
        <w:t xml:space="preserve"> Presence in the Commonwealth of Virginia</w:t>
      </w:r>
    </w:p>
    <w:p w14:paraId="7EB01EFD" w14:textId="0327AB08" w:rsidR="00690E09" w:rsidRDefault="00C82FDA" w:rsidP="00810A7E">
      <w:pPr>
        <w:spacing w:line="480" w:lineRule="auto"/>
        <w:ind w:firstLine="720"/>
        <w:jc w:val="both"/>
      </w:pPr>
      <w:r>
        <w:t xml:space="preserve">The Port of Virginia is a pillar of the economy of southeastern </w:t>
      </w:r>
      <w:r w:rsidR="00D96637">
        <w:t>Virginia and, by some estimates, is responsible for over five percent of economic activity in the Commonwealth on an annual basis.</w:t>
      </w:r>
      <w:r w:rsidR="00690E09">
        <w:t xml:space="preserve"> T</w:t>
      </w:r>
      <w:r w:rsidR="00810A7E">
        <w:t>he Port of Virginia</w:t>
      </w:r>
      <w:r w:rsidR="00690E09">
        <w:t xml:space="preserve"> utilizes</w:t>
      </w:r>
      <w:r w:rsidR="00810A7E">
        <w:t xml:space="preserve"> the world’s largest natural deep-water harbor and is the third largest container port on the East Coast.</w:t>
      </w:r>
      <w:r w:rsidR="00810A7E">
        <w:rPr>
          <w:rStyle w:val="FootnoteReference"/>
        </w:rPr>
        <w:footnoteReference w:id="10"/>
      </w:r>
      <w:r w:rsidR="00690E09">
        <w:t xml:space="preserve"> Expanding the capacity and operations of the Port are </w:t>
      </w:r>
      <w:r w:rsidR="00887EA3">
        <w:t>of continued interest to policymakers, practitioners, and the public alike.</w:t>
      </w:r>
    </w:p>
    <w:p w14:paraId="2028EE03" w14:textId="2A6C0373" w:rsidR="00810A7E" w:rsidRDefault="00810A7E" w:rsidP="00810A7E">
      <w:pPr>
        <w:spacing w:line="480" w:lineRule="auto"/>
        <w:ind w:firstLine="720"/>
        <w:jc w:val="both"/>
      </w:pPr>
      <w:r>
        <w:t>With the state’s desire to become a global gateway, the Port of Virginia’s global shipping capabilities</w:t>
      </w:r>
      <w:r w:rsidR="00095FA5">
        <w:t xml:space="preserve"> </w:t>
      </w:r>
      <w:r>
        <w:t xml:space="preserve">play a crucial role in maintaining market share. In November 2019, </w:t>
      </w:r>
      <w:r w:rsidR="00887EA3">
        <w:t xml:space="preserve">Governor Northam </w:t>
      </w:r>
      <w:r w:rsidR="00095FA5">
        <w:t xml:space="preserve">unveiled </w:t>
      </w:r>
      <w:r>
        <w:t xml:space="preserve">an International Trade Strategic Plan for the Commonwealth of Virginia. </w:t>
      </w:r>
      <w:r w:rsidR="005D74DF">
        <w:t xml:space="preserve">The Port of Virginia is the centerpiece of this plan. The Port assists the Commonwealth in attracting trade-intensive import and export businesses, which, in turn, </w:t>
      </w:r>
      <w:r w:rsidR="00D31DA9">
        <w:t>have positive spillovers on the economy of the Commonwealth</w:t>
      </w:r>
      <w:r w:rsidR="00B825DA">
        <w:t>.</w:t>
      </w:r>
      <w:r w:rsidR="00B825DA">
        <w:rPr>
          <w:rStyle w:val="FootnoteReference"/>
        </w:rPr>
        <w:footnoteReference w:id="11"/>
      </w:r>
      <w:r>
        <w:t xml:space="preserve">  </w:t>
      </w:r>
    </w:p>
    <w:p w14:paraId="26501258" w14:textId="554B42CB" w:rsidR="00F46F8E" w:rsidRDefault="00095FA5" w:rsidP="00810A7E">
      <w:pPr>
        <w:spacing w:line="480" w:lineRule="auto"/>
        <w:ind w:firstLine="720"/>
        <w:jc w:val="both"/>
      </w:pPr>
      <w:r>
        <w:t>ZIM Shipping, because of its role in facilitating imports and exports through the Port of Virginia, supports the objectives of the International Trade Strategic Plan</w:t>
      </w:r>
      <w:r w:rsidR="00695AB5">
        <w:t xml:space="preserve">. Not only are ZIM </w:t>
      </w:r>
      <w:r w:rsidR="00BE313A">
        <w:t>Shipping containers</w:t>
      </w:r>
      <w:r w:rsidR="00695AB5">
        <w:t xml:space="preserve"> a common sight throughout the Commonwealth, ZIM </w:t>
      </w:r>
      <w:r w:rsidR="00BE313A">
        <w:t xml:space="preserve">Shipping continues </w:t>
      </w:r>
      <w:r w:rsidR="002F5CD7">
        <w:t xml:space="preserve">to </w:t>
      </w:r>
      <w:r w:rsidR="00BE313A">
        <w:lastRenderedPageBreak/>
        <w:t xml:space="preserve">generate significant economic benefits to Virginia’s economy. Lastly, </w:t>
      </w:r>
      <w:r w:rsidR="00810A7E">
        <w:t xml:space="preserve">average weekly wages (tracked by the Bureau of Labor Statistics) are higher in the </w:t>
      </w:r>
      <w:r w:rsidR="002E2D76">
        <w:t xml:space="preserve">shipping </w:t>
      </w:r>
      <w:r w:rsidR="00810A7E">
        <w:t xml:space="preserve">industry than total private nonfarm employment. In 2018, average weekly wages in the support activity for water transportation were $1,610 in </w:t>
      </w:r>
      <w:r w:rsidR="002E2D76">
        <w:t xml:space="preserve">the city of </w:t>
      </w:r>
      <w:r w:rsidR="00810A7E">
        <w:t>Norfolk compared to $990 for total private nonfarm employment.</w:t>
      </w:r>
      <w:r w:rsidR="00B825DA">
        <w:rPr>
          <w:rStyle w:val="FootnoteReference"/>
        </w:rPr>
        <w:footnoteReference w:id="12"/>
      </w:r>
      <w:r w:rsidR="002E2D76">
        <w:t xml:space="preserve"> In all likelihood, the average pay of ZIM Shipping jobs is higher than the average pay of private </w:t>
      </w:r>
      <w:r w:rsidR="00603EC9">
        <w:t>nonfarm employees, supporting the Commonwealth’s goal of creating and sustaining higher paying jobs.</w:t>
      </w:r>
      <w:r w:rsidR="00810A7E">
        <w:t xml:space="preserve">  </w:t>
      </w:r>
    </w:p>
    <w:p w14:paraId="2D5F2A45" w14:textId="77777777" w:rsidR="00014BDF" w:rsidRDefault="00960DC0" w:rsidP="00F02686">
      <w:pPr>
        <w:spacing w:line="480" w:lineRule="auto"/>
        <w:jc w:val="both"/>
        <w:rPr>
          <w:b/>
          <w:bCs/>
        </w:rPr>
      </w:pPr>
      <w:r>
        <w:rPr>
          <w:b/>
          <w:bCs/>
        </w:rPr>
        <w:t>A Short Primer on Economic Impact Analysis</w:t>
      </w:r>
    </w:p>
    <w:p w14:paraId="36E5662B" w14:textId="083C8AF2" w:rsidR="00960DC0" w:rsidRDefault="00960DC0" w:rsidP="00F02686">
      <w:pPr>
        <w:spacing w:line="480" w:lineRule="auto"/>
        <w:jc w:val="both"/>
      </w:pPr>
      <w:r>
        <w:tab/>
        <w:t xml:space="preserve">To </w:t>
      </w:r>
      <w:r w:rsidRPr="00D861D9">
        <w:t xml:space="preserve">estimate the impact of ZIM Shipping’s </w:t>
      </w:r>
      <w:r w:rsidR="00D861D9" w:rsidRPr="00D861D9">
        <w:t>operations</w:t>
      </w:r>
      <w:r w:rsidRPr="00D861D9">
        <w:t xml:space="preserve"> for its Norfolk facility, we quantify the direct, indirect, and induced economic impacts. </w:t>
      </w:r>
      <w:r w:rsidR="00697853">
        <w:t>O</w:t>
      </w:r>
      <w:r w:rsidRPr="00D861D9">
        <w:t xml:space="preserve">ur analysis </w:t>
      </w:r>
      <w:r w:rsidR="00697853">
        <w:t xml:space="preserve">consists of two components. The first component focuses </w:t>
      </w:r>
      <w:r w:rsidRPr="00D861D9">
        <w:t xml:space="preserve">on the </w:t>
      </w:r>
      <w:r w:rsidR="005176E2" w:rsidRPr="00D861D9">
        <w:t>impact</w:t>
      </w:r>
      <w:r w:rsidR="00D861D9" w:rsidRPr="00D861D9">
        <w:t xml:space="preserve"> </w:t>
      </w:r>
      <w:r w:rsidR="005176E2" w:rsidRPr="00D861D9">
        <w:t xml:space="preserve">of ZIM Shipping’s </w:t>
      </w:r>
      <w:r w:rsidR="00AC0BD5" w:rsidRPr="00D861D9">
        <w:t>average annual employment from 2009</w:t>
      </w:r>
      <w:r w:rsidR="00C16CBC" w:rsidRPr="00D861D9">
        <w:t xml:space="preserve"> to </w:t>
      </w:r>
      <w:r w:rsidR="00AC0BD5" w:rsidRPr="00D861D9">
        <w:t xml:space="preserve">2019. </w:t>
      </w:r>
      <w:r w:rsidR="004D65D5" w:rsidRPr="00D861D9">
        <w:t xml:space="preserve">We conservatively use the lowest average levels of employment for our estimates to provide a lower-bound on the economic impact of ZIM Shipping on the Virginia economy. </w:t>
      </w:r>
      <w:r w:rsidR="00697853">
        <w:t xml:space="preserve">The second component focuses on the impact of ZIM Shipping’s spending in the Commonwealth during the study period. </w:t>
      </w:r>
      <w:r w:rsidR="004D65D5" w:rsidRPr="00D861D9">
        <w:t>We explicitly assume, as we do not have data</w:t>
      </w:r>
      <w:r w:rsidR="009E2FE1" w:rsidRPr="00D861D9">
        <w:t xml:space="preserve"> on input purchases and sales, that </w:t>
      </w:r>
      <w:r w:rsidR="00697853">
        <w:t xml:space="preserve">other than the spending explicitly noted by ZIM Shipping to occur in Virginia, </w:t>
      </w:r>
      <w:r w:rsidR="009E2FE1" w:rsidRPr="00D861D9">
        <w:t>inputs are sourced from outside the Commonwealth and sales are made to customers outside Virginia.</w:t>
      </w:r>
      <w:r w:rsidR="00697853">
        <w:t xml:space="preserve"> We argue that these conservative assumptions provide a lower-bound on ZIM Shipping’s economic impact.</w:t>
      </w:r>
    </w:p>
    <w:p w14:paraId="198D55F1" w14:textId="564339C1" w:rsidR="009E2FE1" w:rsidRDefault="009E2FE1" w:rsidP="00F02686">
      <w:pPr>
        <w:spacing w:line="480" w:lineRule="auto"/>
        <w:jc w:val="both"/>
      </w:pPr>
      <w:r>
        <w:tab/>
        <w:t xml:space="preserve">To understand our approach, </w:t>
      </w:r>
      <w:r w:rsidR="003472CC">
        <w:t>it is helpful to imagine a pebble dropped into a puddle of water to visualize how the economy reacts to a change in</w:t>
      </w:r>
      <w:r w:rsidR="00067C1A">
        <w:t xml:space="preserve"> </w:t>
      </w:r>
      <w:r w:rsidR="00697853">
        <w:t>spending or</w:t>
      </w:r>
      <w:r w:rsidR="00D861D9">
        <w:t xml:space="preserve"> employment. </w:t>
      </w:r>
      <w:r w:rsidR="00067C1A">
        <w:t xml:space="preserve">The impact </w:t>
      </w:r>
      <w:r w:rsidR="00067C1A">
        <w:lastRenderedPageBreak/>
        <w:t>represents the initial round of economic activity on output</w:t>
      </w:r>
      <w:r w:rsidR="008B3B8A">
        <w:t xml:space="preserve">, earnings, and employment. The initial round of economic activity ripples through the rest of the economy like the waves moving through the puddle. These ripples represent the indirect and induced impacts that come about through the interconnectedness of </w:t>
      </w:r>
      <w:r w:rsidR="00B2122F">
        <w:t xml:space="preserve">the local economy. The indirect economic impact comes from economic activity </w:t>
      </w:r>
      <w:r w:rsidR="00D861D9">
        <w:t>by companies frequented by ZIM Shipping employees</w:t>
      </w:r>
      <w:r w:rsidR="00697853">
        <w:t xml:space="preserve"> or companies that provide services to ZIM Shipping</w:t>
      </w:r>
      <w:r w:rsidR="00B2122F">
        <w:t xml:space="preserve">. The induced </w:t>
      </w:r>
      <w:r w:rsidR="00505150">
        <w:t>impact comes from industries directly and indirectly affected by ZIM Shipping’s</w:t>
      </w:r>
      <w:r w:rsidR="00697853">
        <w:t xml:space="preserve"> employment in Norfolk or spending in Virginia. </w:t>
      </w:r>
    </w:p>
    <w:p w14:paraId="5E26BB9E" w14:textId="15AB0B02" w:rsidR="00505150" w:rsidRDefault="00505150" w:rsidP="00F02686">
      <w:pPr>
        <w:spacing w:line="480" w:lineRule="auto"/>
        <w:jc w:val="both"/>
      </w:pPr>
      <w:r>
        <w:tab/>
        <w:t>These spillovers can create a total economic impact that is larger than the direct impact. The notion of an economic multiplier summarizes the total economic impact of a change in economic activity. If a firm invests $1,000,000 (direct impact) that generates $300,000 in indirect economic impacts and $200,000 in induced economic impacts, then the economic impact multiplier effect is ($1,000,000 + $300,000 + $200,000) / $1,000,000 = 1.5</w:t>
      </w:r>
      <w:r w:rsidR="009B613D">
        <w:t>.</w:t>
      </w:r>
    </w:p>
    <w:p w14:paraId="0EF877AA" w14:textId="75E87892" w:rsidR="006C5637" w:rsidRDefault="006C5637" w:rsidP="00F02686">
      <w:pPr>
        <w:spacing w:line="480" w:lineRule="auto"/>
        <w:jc w:val="both"/>
      </w:pPr>
      <w:r>
        <w:tab/>
        <w:t xml:space="preserve">There are two important considerations when evaluating economic multipliers. First, the size of the multiplier inherently depends on how much of the economic activity continues to </w:t>
      </w:r>
      <w:r w:rsidR="009C480A">
        <w:t>recycle within the region. If a firm obtains most of its materials from outside the region (a “leakage”), then the actual multiplier effect will necessarily be smaller. Second, the multiplier effect, where spending spills over to a variety of other sectors, is great when the direct impact is positive, however, it is equally painful when there is a reduction in direct economic activity. From an econ</w:t>
      </w:r>
      <w:r w:rsidR="00402E77">
        <w:t>omic impact perspective, “new” money that is “injected” in a state has a greater economic impact than “old” money that is “redistributed” from existing spending in a state.</w:t>
      </w:r>
    </w:p>
    <w:p w14:paraId="6D13715F" w14:textId="6B8D1B65" w:rsidR="00402E77" w:rsidRDefault="00402E77" w:rsidP="00F02686">
      <w:pPr>
        <w:spacing w:line="480" w:lineRule="auto"/>
        <w:jc w:val="both"/>
      </w:pPr>
      <w:r>
        <w:tab/>
        <w:t xml:space="preserve">We present </w:t>
      </w:r>
      <w:r w:rsidR="00081AB0">
        <w:t xml:space="preserve">static estimates of the estimated total economic impact of ZIM Shipping’s employment in Virginia. </w:t>
      </w:r>
      <w:r w:rsidR="001F1677">
        <w:t xml:space="preserve">We use the Bureau of Labor Statistics Regional Input-Output Modeling </w:t>
      </w:r>
      <w:r w:rsidR="001F1677">
        <w:lastRenderedPageBreak/>
        <w:t xml:space="preserve">System (RIMS-II) for this analysis. RIMS-II contains employment and spending multipliers that allow the generation of static estimates of economic impact. </w:t>
      </w:r>
      <w:r w:rsidR="00593FF3">
        <w:t xml:space="preserve">The static estimates of the estimated total economic impact “lump” the spending and employment into an annual period and there is no feedback mechanism. We also caution the reader that we employ data on average employment </w:t>
      </w:r>
      <w:r w:rsidR="00E14003">
        <w:t xml:space="preserve">and spending </w:t>
      </w:r>
      <w:r w:rsidR="00E362CE">
        <w:t xml:space="preserve">within one year. </w:t>
      </w:r>
    </w:p>
    <w:p w14:paraId="0C667CFE" w14:textId="14E9FA5C" w:rsidR="00DB6983" w:rsidRDefault="00E362CE" w:rsidP="00F02686">
      <w:pPr>
        <w:spacing w:line="480" w:lineRule="auto"/>
        <w:jc w:val="both"/>
      </w:pPr>
      <w:r>
        <w:tab/>
        <w:t>We also must assume that the multipliers do not change over the period of analysis. The estimated impact on output may be sensitive to changes in these assumptions and the estimates sh</w:t>
      </w:r>
      <w:r w:rsidR="000965F0">
        <w:t>ould be viewed as conditional on the data</w:t>
      </w:r>
      <w:r w:rsidR="00D861D9">
        <w:t xml:space="preserve"> and our assumptions</w:t>
      </w:r>
      <w:r w:rsidR="000965F0">
        <w:t xml:space="preserve">. </w:t>
      </w:r>
      <w:r w:rsidR="00D861D9">
        <w:t xml:space="preserve">We argue this </w:t>
      </w:r>
      <w:r w:rsidR="000965F0">
        <w:t>approach avoids the possibility of double counting the impact of ZIM Shipping’s operations on the Virginia economy and provides a more conservative estimate of the overall economic impact of ZIM Shipping’s operations on the Commonwealth</w:t>
      </w:r>
      <w:r w:rsidR="00916B50">
        <w:t>’s</w:t>
      </w:r>
      <w:r w:rsidR="000965F0">
        <w:t xml:space="preserve"> economy. </w:t>
      </w:r>
    </w:p>
    <w:p w14:paraId="6CCF5D82" w14:textId="77777777" w:rsidR="00FB53BB" w:rsidRDefault="00FB53BB" w:rsidP="00F02686">
      <w:pPr>
        <w:spacing w:line="480" w:lineRule="auto"/>
        <w:jc w:val="both"/>
        <w:rPr>
          <w:b/>
          <w:bCs/>
        </w:rPr>
      </w:pPr>
      <w:r>
        <w:rPr>
          <w:b/>
          <w:bCs/>
        </w:rPr>
        <w:t xml:space="preserve">Estimating the </w:t>
      </w:r>
      <w:r w:rsidR="00EE57E0">
        <w:rPr>
          <w:b/>
          <w:bCs/>
        </w:rPr>
        <w:t>Economic Impact of ZIM Shipping</w:t>
      </w:r>
    </w:p>
    <w:p w14:paraId="48384683" w14:textId="2E81BBB0" w:rsidR="00697853" w:rsidRDefault="00EE57E0" w:rsidP="00D17EDF">
      <w:pPr>
        <w:spacing w:line="480" w:lineRule="auto"/>
        <w:ind w:firstLine="720"/>
        <w:jc w:val="both"/>
      </w:pPr>
      <w:r>
        <w:t xml:space="preserve">To estimate the total economic impact of ZIM Shipping’s operations in the Commonwealth of Virginia from </w:t>
      </w:r>
      <w:r w:rsidR="00C16CBC">
        <w:t xml:space="preserve">2009 to 2019, we must first estimate </w:t>
      </w:r>
      <w:r w:rsidR="00D861D9">
        <w:t xml:space="preserve">ZIM </w:t>
      </w:r>
      <w:r w:rsidR="00FF7FB1">
        <w:t>Shipping’s employment</w:t>
      </w:r>
      <w:r w:rsidR="00D861D9">
        <w:t xml:space="preserve"> over this period.</w:t>
      </w:r>
      <w:r w:rsidR="004B63F0">
        <w:t xml:space="preserve"> Table 1 illustrates our estimates regarding</w:t>
      </w:r>
      <w:r w:rsidR="00E14003">
        <w:t xml:space="preserve"> employment</w:t>
      </w:r>
      <w:r w:rsidR="003107F2">
        <w:t xml:space="preserve">, as well as </w:t>
      </w:r>
      <w:r w:rsidR="00697853">
        <w:t>ZIM Shipping’s stated average</w:t>
      </w:r>
      <w:r w:rsidR="003107F2">
        <w:t xml:space="preserve"> spending </w:t>
      </w:r>
      <w:r w:rsidR="00697853">
        <w:t xml:space="preserve">in Virginia </w:t>
      </w:r>
      <w:r w:rsidR="003107F2">
        <w:t>over time</w:t>
      </w:r>
      <w:r w:rsidR="004B63F0">
        <w:t xml:space="preserve">. </w:t>
      </w:r>
      <w:r w:rsidR="00D17EDF">
        <w:t xml:space="preserve">We provide the detailed incremental estimates for nonfarm payrolls and nominal gross output in Table 2. </w:t>
      </w:r>
    </w:p>
    <w:p w14:paraId="2E636737" w14:textId="33E2FDE0" w:rsidR="00026A7D" w:rsidRDefault="00E14003">
      <w:pPr>
        <w:spacing w:line="480" w:lineRule="auto"/>
        <w:ind w:firstLine="720"/>
        <w:jc w:val="both"/>
      </w:pPr>
      <w:r>
        <w:t xml:space="preserve">As noted previously, gross output is a measure of an industry's sales or receipts, which can include sales to final users in the economy (GDP) or sales to other industries (intermediate inputs). </w:t>
      </w:r>
      <w:r w:rsidR="00367369">
        <w:t>Figure 1 displays the</w:t>
      </w:r>
      <w:r w:rsidR="00026A7D">
        <w:t xml:space="preserve"> annual</w:t>
      </w:r>
      <w:r w:rsidR="00367369">
        <w:t xml:space="preserve"> </w:t>
      </w:r>
      <w:r w:rsidR="00026A7D">
        <w:t>incremental change in nominal</w:t>
      </w:r>
      <w:r>
        <w:t xml:space="preserve"> gross </w:t>
      </w:r>
      <w:r w:rsidR="00026A7D">
        <w:t>output in the Commonwealth of Virginia from 2009 to 2019</w:t>
      </w:r>
      <w:r w:rsidR="00D861D9">
        <w:t xml:space="preserve"> as the result of ZIM Shipping’</w:t>
      </w:r>
      <w:r w:rsidR="001A587E">
        <w:t>s</w:t>
      </w:r>
      <w:r w:rsidR="00D861D9">
        <w:t xml:space="preserve"> operations in </w:t>
      </w:r>
      <w:r w:rsidR="00D861D9">
        <w:lastRenderedPageBreak/>
        <w:t>Norfolk</w:t>
      </w:r>
      <w:r w:rsidR="00026A7D">
        <w:t xml:space="preserve">. The incremental impact of ZIM Shipping on the Virginia economy </w:t>
      </w:r>
      <w:r w:rsidR="00CA2CC5">
        <w:t>ranges</w:t>
      </w:r>
      <w:r w:rsidR="003E422E">
        <w:t xml:space="preserve"> </w:t>
      </w:r>
      <w:r w:rsidR="00026A7D">
        <w:t>from approximately $</w:t>
      </w:r>
      <w:r w:rsidR="003107F2">
        <w:t>97.6</w:t>
      </w:r>
      <w:r w:rsidR="00026A7D">
        <w:t xml:space="preserve"> million in 2009 to </w:t>
      </w:r>
      <w:r w:rsidR="003E422E">
        <w:t>$</w:t>
      </w:r>
      <w:r w:rsidR="003107F2">
        <w:t>105.8</w:t>
      </w:r>
      <w:r w:rsidR="003E422E">
        <w:t xml:space="preserve"> million in 2019</w:t>
      </w:r>
      <w:r w:rsidR="00CA2CC5">
        <w:t xml:space="preserve">. </w:t>
      </w:r>
    </w:p>
    <w:p w14:paraId="73B797D1" w14:textId="0899A639" w:rsidR="00CA2CC5" w:rsidRDefault="005A22BE" w:rsidP="00CA2CC5">
      <w:pPr>
        <w:spacing w:line="480" w:lineRule="auto"/>
        <w:ind w:firstLine="720"/>
        <w:jc w:val="both"/>
      </w:pPr>
      <w:r>
        <w:t xml:space="preserve">To estimate the cumulative economic impact on output across time, we must convert the nominal </w:t>
      </w:r>
      <w:r w:rsidR="00070F00">
        <w:t>impacts in Figure 1 to real (inflation-adjusted) terms.</w:t>
      </w:r>
      <w:r w:rsidR="00CA2CC5">
        <w:t xml:space="preserve"> Here we use the annual average Consumer Price Index (CPI) from the Bureau of Labor Statistics (BLS) to convert the nominal impacts into constant-year dollars which are comparable across time. Given that we employ RIMS-II multipliers from 2019, we choose 2019 as a base year for our analysis. We must also account</w:t>
      </w:r>
      <w:r w:rsidR="00B15263">
        <w:t xml:space="preserve"> for</w:t>
      </w:r>
      <w:r w:rsidR="00CA2CC5">
        <w:t xml:space="preserve"> the concern that economic impacts in the past should be converted to equal values in the present. We use a discount rate of 2 percent and convert historic impacts into 2019-equivalent impacts.</w:t>
      </w:r>
      <w:r w:rsidR="0016246C">
        <w:rPr>
          <w:rStyle w:val="FootnoteReference"/>
        </w:rPr>
        <w:footnoteReference w:id="13"/>
      </w:r>
      <w:r w:rsidR="00CA2CC5">
        <w:t xml:space="preserve"> Given that the federal government discount </w:t>
      </w:r>
      <w:r w:rsidR="0016246C">
        <w:t>in 2019 was 3.4 percent</w:t>
      </w:r>
      <w:r w:rsidR="00CA2CC5">
        <w:t>, our conservative discount rate</w:t>
      </w:r>
      <w:r w:rsidR="0016246C">
        <w:t xml:space="preserve"> </w:t>
      </w:r>
      <w:r w:rsidR="00CA2CC5">
        <w:t>understate</w:t>
      </w:r>
      <w:r w:rsidR="0016246C">
        <w:t>s</w:t>
      </w:r>
      <w:r w:rsidR="00CA2CC5">
        <w:t xml:space="preserve"> the value of historic economic impacts.</w:t>
      </w:r>
      <w:r w:rsidR="0016246C">
        <w:rPr>
          <w:rStyle w:val="FootnoteReference"/>
        </w:rPr>
        <w:footnoteReference w:id="14"/>
      </w:r>
    </w:p>
    <w:p w14:paraId="367B68D2" w14:textId="5E13DFC7" w:rsidR="005A22BE" w:rsidRPr="00916B50" w:rsidRDefault="00CA2CC5" w:rsidP="00CA2CC5">
      <w:pPr>
        <w:spacing w:line="480" w:lineRule="auto"/>
        <w:ind w:firstLine="720"/>
        <w:jc w:val="both"/>
      </w:pPr>
      <w:r>
        <w:t>Figure 2 displays the real (inflation-adjusted) impact of ZIM Shipping’s operations on gross output in Virginia.</w:t>
      </w:r>
      <w:r w:rsidRPr="00D861D9">
        <w:t xml:space="preserve"> </w:t>
      </w:r>
      <w:r w:rsidR="00070F00" w:rsidRPr="00D861D9">
        <w:t xml:space="preserve">We </w:t>
      </w:r>
      <w:r w:rsidR="00117B8A" w:rsidRPr="00D861D9">
        <w:t>estimate the</w:t>
      </w:r>
      <w:r w:rsidR="00070F00" w:rsidRPr="00D861D9">
        <w:t xml:space="preserve"> total </w:t>
      </w:r>
      <w:r w:rsidR="00DA1BFC" w:rsidRPr="00D861D9">
        <w:t>economic impact of ZIM Shipping’s operations in the Commonwealth of Virginia to be approximately</w:t>
      </w:r>
      <w:r w:rsidR="00B75285" w:rsidRPr="00D861D9">
        <w:t xml:space="preserve"> $</w:t>
      </w:r>
      <w:r w:rsidR="003107F2">
        <w:t>1,158.7</w:t>
      </w:r>
      <w:r w:rsidR="00B75285" w:rsidRPr="00D861D9">
        <w:t>.0</w:t>
      </w:r>
      <w:r w:rsidR="00D861D9">
        <w:t xml:space="preserve"> million</w:t>
      </w:r>
      <w:r w:rsidR="00DA1BFC" w:rsidRPr="00D861D9">
        <w:t xml:space="preserve"> in 2019 dollars over the 2009 to 2019 time period. </w:t>
      </w:r>
    </w:p>
    <w:p w14:paraId="73101E6B" w14:textId="5BB6E561" w:rsidR="00D17EDF" w:rsidRDefault="00330FBF" w:rsidP="00F02686">
      <w:pPr>
        <w:spacing w:line="480" w:lineRule="auto"/>
        <w:ind w:firstLine="720"/>
        <w:jc w:val="both"/>
      </w:pPr>
      <w:r>
        <w:t xml:space="preserve">Figure 3 displays the impact of ZIM Shipping’s </w:t>
      </w:r>
      <w:r w:rsidR="00D42B5C">
        <w:t>continued operations on private nonfarm employment (jobs). ZIM Shipping’s direct employment decrease</w:t>
      </w:r>
      <w:r w:rsidR="00916B50">
        <w:t>d</w:t>
      </w:r>
      <w:r w:rsidR="00D42B5C">
        <w:t xml:space="preserve"> from 385 in 2009 to 285 in 2019</w:t>
      </w:r>
      <w:r w:rsidR="00D861D9">
        <w:t>.</w:t>
      </w:r>
      <w:r w:rsidR="00187D82">
        <w:t xml:space="preserve"> On the other hand, ZIM Shipping’s spending impact increased from 52 jobs in 2009 to 153 jobs in 2019. In total, </w:t>
      </w:r>
      <w:r w:rsidR="00D861D9">
        <w:t xml:space="preserve">nonfarm employment in Virginia was </w:t>
      </w:r>
      <w:r w:rsidR="0061425C">
        <w:t xml:space="preserve">568 </w:t>
      </w:r>
      <w:r w:rsidR="00D861D9">
        <w:t>jobs higher in 2019 due to the presence of ZIM Shipping’s facility in Norfolk.</w:t>
      </w:r>
    </w:p>
    <w:p w14:paraId="291C375C" w14:textId="4813946C" w:rsidR="00D17EDF" w:rsidRDefault="00D17EDF" w:rsidP="00D17EDF">
      <w:pPr>
        <w:spacing w:line="480" w:lineRule="auto"/>
        <w:jc w:val="both"/>
        <w:sectPr w:rsidR="00D17EDF" w:rsidSect="00255140">
          <w:footerReference w:type="even" r:id="rId10"/>
          <w:footerReference w:type="default" r:id="rId11"/>
          <w:pgSz w:w="12240" w:h="15840"/>
          <w:pgMar w:top="1440" w:right="1440" w:bottom="1440" w:left="1440" w:header="720" w:footer="720" w:gutter="0"/>
          <w:pgNumType w:start="0"/>
          <w:cols w:space="720"/>
          <w:titlePg/>
          <w:docGrid w:linePitch="360"/>
        </w:sectPr>
      </w:pPr>
    </w:p>
    <w:p w14:paraId="54CD1C7E" w14:textId="77777777" w:rsidR="00F02686" w:rsidRPr="00F02686" w:rsidRDefault="00F02686" w:rsidP="00D17EDF">
      <w:pPr>
        <w:jc w:val="center"/>
        <w:rPr>
          <w:b/>
          <w:bCs/>
        </w:rPr>
      </w:pPr>
      <w:r w:rsidRPr="00F02686">
        <w:rPr>
          <w:b/>
          <w:bCs/>
        </w:rPr>
        <w:lastRenderedPageBreak/>
        <w:t>Table 1</w:t>
      </w:r>
    </w:p>
    <w:p w14:paraId="5BCAFB78" w14:textId="60196703" w:rsidR="00F02686" w:rsidRPr="00F02686" w:rsidRDefault="00F02686" w:rsidP="00D17EDF">
      <w:pPr>
        <w:jc w:val="center"/>
        <w:rPr>
          <w:b/>
          <w:bCs/>
        </w:rPr>
      </w:pPr>
      <w:r w:rsidRPr="00F02686">
        <w:rPr>
          <w:b/>
          <w:bCs/>
        </w:rPr>
        <w:t>Estimated Employment</w:t>
      </w:r>
      <w:r w:rsidR="003107F2">
        <w:rPr>
          <w:b/>
          <w:bCs/>
        </w:rPr>
        <w:t xml:space="preserve"> and Spending</w:t>
      </w:r>
    </w:p>
    <w:p w14:paraId="151E0170" w14:textId="77777777" w:rsidR="00F02686" w:rsidRPr="00F02686" w:rsidRDefault="00F02686" w:rsidP="00D17EDF">
      <w:pPr>
        <w:jc w:val="center"/>
        <w:rPr>
          <w:b/>
          <w:bCs/>
        </w:rPr>
      </w:pPr>
      <w:r w:rsidRPr="00F02686">
        <w:rPr>
          <w:b/>
          <w:bCs/>
        </w:rPr>
        <w:t>ZIM Shipping’s Operations in Virginia</w:t>
      </w:r>
    </w:p>
    <w:p w14:paraId="3B29ED2B" w14:textId="1A9A3A4E" w:rsidR="00F02686" w:rsidRDefault="00F02686" w:rsidP="00D17EDF">
      <w:pPr>
        <w:jc w:val="center"/>
        <w:rPr>
          <w:b/>
          <w:bCs/>
        </w:rPr>
      </w:pPr>
      <w:r w:rsidRPr="00F02686">
        <w:rPr>
          <w:b/>
          <w:bCs/>
        </w:rPr>
        <w:t xml:space="preserve">2009 – 2019 </w:t>
      </w:r>
    </w:p>
    <w:p w14:paraId="3700F33F" w14:textId="77777777" w:rsidR="00D17EDF" w:rsidRPr="00F02686" w:rsidRDefault="00D17EDF" w:rsidP="00D17EDF">
      <w:pPr>
        <w:jc w:val="center"/>
        <w:rPr>
          <w:b/>
          <w:bCs/>
        </w:rPr>
      </w:pPr>
    </w:p>
    <w:tbl>
      <w:tblPr>
        <w:tblStyle w:val="TableGrid"/>
        <w:tblW w:w="0" w:type="auto"/>
        <w:tblInd w:w="85" w:type="dxa"/>
        <w:tblLook w:val="04A0" w:firstRow="1" w:lastRow="0" w:firstColumn="1" w:lastColumn="0" w:noHBand="0" w:noVBand="1"/>
      </w:tblPr>
      <w:tblGrid>
        <w:gridCol w:w="1459"/>
        <w:gridCol w:w="1043"/>
        <w:gridCol w:w="1042"/>
        <w:gridCol w:w="1042"/>
        <w:gridCol w:w="1043"/>
        <w:gridCol w:w="1043"/>
        <w:gridCol w:w="1043"/>
        <w:gridCol w:w="1044"/>
        <w:gridCol w:w="1045"/>
        <w:gridCol w:w="1045"/>
        <w:gridCol w:w="1045"/>
        <w:gridCol w:w="971"/>
      </w:tblGrid>
      <w:tr w:rsidR="00F02686" w:rsidRPr="00F02686" w14:paraId="1C87FB77" w14:textId="77777777" w:rsidTr="00FF7FB1">
        <w:tc>
          <w:tcPr>
            <w:tcW w:w="1375" w:type="dxa"/>
          </w:tcPr>
          <w:p w14:paraId="527C6F66" w14:textId="77777777" w:rsidR="00F02686" w:rsidRPr="00F02686" w:rsidRDefault="00F02686" w:rsidP="00F02686">
            <w:pPr>
              <w:spacing w:line="480" w:lineRule="auto"/>
              <w:jc w:val="center"/>
            </w:pPr>
          </w:p>
        </w:tc>
        <w:tc>
          <w:tcPr>
            <w:tcW w:w="1052" w:type="dxa"/>
          </w:tcPr>
          <w:p w14:paraId="0ACA81A9" w14:textId="77777777" w:rsidR="00F02686" w:rsidRPr="00F02686" w:rsidRDefault="00F02686" w:rsidP="00F02686">
            <w:pPr>
              <w:spacing w:line="480" w:lineRule="auto"/>
              <w:jc w:val="center"/>
              <w:rPr>
                <w:b/>
                <w:bCs/>
              </w:rPr>
            </w:pPr>
            <w:r w:rsidRPr="00F02686">
              <w:rPr>
                <w:b/>
                <w:bCs/>
              </w:rPr>
              <w:t>2009</w:t>
            </w:r>
          </w:p>
        </w:tc>
        <w:tc>
          <w:tcPr>
            <w:tcW w:w="1051" w:type="dxa"/>
          </w:tcPr>
          <w:p w14:paraId="15DCEF90" w14:textId="77777777" w:rsidR="00F02686" w:rsidRPr="00F02686" w:rsidRDefault="00F02686" w:rsidP="00F02686">
            <w:pPr>
              <w:spacing w:line="480" w:lineRule="auto"/>
              <w:jc w:val="center"/>
              <w:rPr>
                <w:b/>
                <w:bCs/>
              </w:rPr>
            </w:pPr>
            <w:r w:rsidRPr="00F02686">
              <w:rPr>
                <w:b/>
                <w:bCs/>
              </w:rPr>
              <w:t>2010</w:t>
            </w:r>
          </w:p>
        </w:tc>
        <w:tc>
          <w:tcPr>
            <w:tcW w:w="1051" w:type="dxa"/>
          </w:tcPr>
          <w:p w14:paraId="57DF1F82" w14:textId="77777777" w:rsidR="00F02686" w:rsidRPr="00F02686" w:rsidRDefault="00F02686" w:rsidP="00F02686">
            <w:pPr>
              <w:spacing w:line="480" w:lineRule="auto"/>
              <w:jc w:val="center"/>
              <w:rPr>
                <w:b/>
                <w:bCs/>
              </w:rPr>
            </w:pPr>
            <w:r w:rsidRPr="00F02686">
              <w:rPr>
                <w:b/>
                <w:bCs/>
              </w:rPr>
              <w:t>2011</w:t>
            </w:r>
          </w:p>
        </w:tc>
        <w:tc>
          <w:tcPr>
            <w:tcW w:w="1051" w:type="dxa"/>
          </w:tcPr>
          <w:p w14:paraId="25C8A0E9" w14:textId="77777777" w:rsidR="00F02686" w:rsidRPr="00F02686" w:rsidRDefault="00F02686" w:rsidP="00F02686">
            <w:pPr>
              <w:spacing w:line="480" w:lineRule="auto"/>
              <w:jc w:val="center"/>
              <w:rPr>
                <w:b/>
                <w:bCs/>
              </w:rPr>
            </w:pPr>
            <w:r w:rsidRPr="00F02686">
              <w:rPr>
                <w:b/>
                <w:bCs/>
              </w:rPr>
              <w:t>2012</w:t>
            </w:r>
          </w:p>
        </w:tc>
        <w:tc>
          <w:tcPr>
            <w:tcW w:w="1051" w:type="dxa"/>
          </w:tcPr>
          <w:p w14:paraId="1CD1C697" w14:textId="77777777" w:rsidR="00F02686" w:rsidRPr="00F02686" w:rsidRDefault="00F02686" w:rsidP="00F02686">
            <w:pPr>
              <w:spacing w:line="480" w:lineRule="auto"/>
              <w:jc w:val="center"/>
              <w:rPr>
                <w:b/>
                <w:bCs/>
              </w:rPr>
            </w:pPr>
            <w:r w:rsidRPr="00F02686">
              <w:rPr>
                <w:b/>
                <w:bCs/>
              </w:rPr>
              <w:t>2013</w:t>
            </w:r>
          </w:p>
        </w:tc>
        <w:tc>
          <w:tcPr>
            <w:tcW w:w="1051" w:type="dxa"/>
          </w:tcPr>
          <w:p w14:paraId="36BC4E52" w14:textId="77777777" w:rsidR="00F02686" w:rsidRPr="00F02686" w:rsidRDefault="00F02686" w:rsidP="00F02686">
            <w:pPr>
              <w:spacing w:line="480" w:lineRule="auto"/>
              <w:jc w:val="center"/>
              <w:rPr>
                <w:b/>
                <w:bCs/>
              </w:rPr>
            </w:pPr>
            <w:r w:rsidRPr="00F02686">
              <w:rPr>
                <w:b/>
                <w:bCs/>
              </w:rPr>
              <w:t>2014</w:t>
            </w:r>
          </w:p>
        </w:tc>
        <w:tc>
          <w:tcPr>
            <w:tcW w:w="1051" w:type="dxa"/>
          </w:tcPr>
          <w:p w14:paraId="711573DB" w14:textId="77777777" w:rsidR="00F02686" w:rsidRPr="00F02686" w:rsidRDefault="00F02686" w:rsidP="00F02686">
            <w:pPr>
              <w:spacing w:line="480" w:lineRule="auto"/>
              <w:jc w:val="center"/>
              <w:rPr>
                <w:b/>
                <w:bCs/>
              </w:rPr>
            </w:pPr>
            <w:r w:rsidRPr="00F02686">
              <w:rPr>
                <w:b/>
                <w:bCs/>
              </w:rPr>
              <w:t>2015</w:t>
            </w:r>
          </w:p>
        </w:tc>
        <w:tc>
          <w:tcPr>
            <w:tcW w:w="1052" w:type="dxa"/>
          </w:tcPr>
          <w:p w14:paraId="5F0A911E" w14:textId="77777777" w:rsidR="00F02686" w:rsidRPr="00F02686" w:rsidRDefault="00F02686" w:rsidP="00F02686">
            <w:pPr>
              <w:spacing w:line="480" w:lineRule="auto"/>
              <w:jc w:val="center"/>
              <w:rPr>
                <w:b/>
                <w:bCs/>
              </w:rPr>
            </w:pPr>
            <w:r w:rsidRPr="00F02686">
              <w:rPr>
                <w:b/>
                <w:bCs/>
              </w:rPr>
              <w:t>2016</w:t>
            </w:r>
          </w:p>
        </w:tc>
        <w:tc>
          <w:tcPr>
            <w:tcW w:w="1052" w:type="dxa"/>
          </w:tcPr>
          <w:p w14:paraId="336E0FC7" w14:textId="77777777" w:rsidR="00F02686" w:rsidRPr="00F02686" w:rsidRDefault="00F02686" w:rsidP="00F02686">
            <w:pPr>
              <w:spacing w:line="480" w:lineRule="auto"/>
              <w:jc w:val="center"/>
              <w:rPr>
                <w:b/>
                <w:bCs/>
              </w:rPr>
            </w:pPr>
            <w:r w:rsidRPr="00F02686">
              <w:rPr>
                <w:b/>
                <w:bCs/>
              </w:rPr>
              <w:t>2017</w:t>
            </w:r>
          </w:p>
        </w:tc>
        <w:tc>
          <w:tcPr>
            <w:tcW w:w="1052" w:type="dxa"/>
          </w:tcPr>
          <w:p w14:paraId="20602401" w14:textId="77777777" w:rsidR="00F02686" w:rsidRPr="00F02686" w:rsidRDefault="00F02686" w:rsidP="00F02686">
            <w:pPr>
              <w:spacing w:line="480" w:lineRule="auto"/>
              <w:jc w:val="center"/>
              <w:rPr>
                <w:b/>
                <w:bCs/>
              </w:rPr>
            </w:pPr>
            <w:r w:rsidRPr="00F02686">
              <w:rPr>
                <w:b/>
                <w:bCs/>
              </w:rPr>
              <w:t>2018</w:t>
            </w:r>
          </w:p>
        </w:tc>
        <w:tc>
          <w:tcPr>
            <w:tcW w:w="976" w:type="dxa"/>
          </w:tcPr>
          <w:p w14:paraId="2352049F" w14:textId="77777777" w:rsidR="00F02686" w:rsidRPr="00F02686" w:rsidRDefault="00F02686" w:rsidP="00F02686">
            <w:pPr>
              <w:spacing w:line="480" w:lineRule="auto"/>
              <w:jc w:val="center"/>
              <w:rPr>
                <w:b/>
                <w:bCs/>
              </w:rPr>
            </w:pPr>
            <w:r w:rsidRPr="00F02686">
              <w:rPr>
                <w:b/>
                <w:bCs/>
              </w:rPr>
              <w:t>2019</w:t>
            </w:r>
          </w:p>
        </w:tc>
      </w:tr>
      <w:tr w:rsidR="00F02686" w:rsidRPr="00F02686" w14:paraId="2E4321CA" w14:textId="77777777" w:rsidTr="00FF7FB1">
        <w:trPr>
          <w:trHeight w:val="296"/>
        </w:trPr>
        <w:tc>
          <w:tcPr>
            <w:tcW w:w="1375" w:type="dxa"/>
          </w:tcPr>
          <w:p w14:paraId="27C6C472" w14:textId="77777777" w:rsidR="00F02686" w:rsidRPr="00F02686" w:rsidRDefault="00F02686" w:rsidP="00F02686">
            <w:pPr>
              <w:spacing w:line="480" w:lineRule="auto"/>
            </w:pPr>
            <w:r w:rsidRPr="00F02686">
              <w:t xml:space="preserve">Employment   </w:t>
            </w:r>
          </w:p>
        </w:tc>
        <w:tc>
          <w:tcPr>
            <w:tcW w:w="1052" w:type="dxa"/>
          </w:tcPr>
          <w:p w14:paraId="0F6B1672" w14:textId="77777777" w:rsidR="00F02686" w:rsidRPr="00F02686" w:rsidRDefault="00F02686" w:rsidP="00F02686">
            <w:pPr>
              <w:spacing w:line="480" w:lineRule="auto"/>
              <w:jc w:val="center"/>
            </w:pPr>
            <w:r w:rsidRPr="00F02686">
              <w:t>385</w:t>
            </w:r>
          </w:p>
        </w:tc>
        <w:tc>
          <w:tcPr>
            <w:tcW w:w="1051" w:type="dxa"/>
          </w:tcPr>
          <w:p w14:paraId="1A48BC67" w14:textId="77777777" w:rsidR="00F02686" w:rsidRPr="00F02686" w:rsidRDefault="00F02686" w:rsidP="00F02686">
            <w:pPr>
              <w:spacing w:line="480" w:lineRule="auto"/>
              <w:jc w:val="center"/>
            </w:pPr>
            <w:r w:rsidRPr="00F02686">
              <w:t>385</w:t>
            </w:r>
          </w:p>
        </w:tc>
        <w:tc>
          <w:tcPr>
            <w:tcW w:w="1051" w:type="dxa"/>
          </w:tcPr>
          <w:p w14:paraId="73707C9A" w14:textId="77777777" w:rsidR="00F02686" w:rsidRPr="00F02686" w:rsidRDefault="00F02686" w:rsidP="00F02686">
            <w:pPr>
              <w:spacing w:line="480" w:lineRule="auto"/>
              <w:jc w:val="center"/>
            </w:pPr>
            <w:r w:rsidRPr="00F02686">
              <w:t>285</w:t>
            </w:r>
          </w:p>
        </w:tc>
        <w:tc>
          <w:tcPr>
            <w:tcW w:w="1051" w:type="dxa"/>
          </w:tcPr>
          <w:p w14:paraId="3D692132" w14:textId="77777777" w:rsidR="00F02686" w:rsidRPr="00F02686" w:rsidRDefault="00F02686" w:rsidP="00F02686">
            <w:pPr>
              <w:spacing w:line="480" w:lineRule="auto"/>
              <w:jc w:val="center"/>
            </w:pPr>
            <w:r w:rsidRPr="00F02686">
              <w:t>285</w:t>
            </w:r>
          </w:p>
        </w:tc>
        <w:tc>
          <w:tcPr>
            <w:tcW w:w="1051" w:type="dxa"/>
          </w:tcPr>
          <w:p w14:paraId="052B61BF" w14:textId="77777777" w:rsidR="00F02686" w:rsidRPr="00F02686" w:rsidRDefault="00F02686" w:rsidP="00F02686">
            <w:pPr>
              <w:spacing w:line="480" w:lineRule="auto"/>
              <w:jc w:val="center"/>
            </w:pPr>
            <w:r w:rsidRPr="00F02686">
              <w:t>285</w:t>
            </w:r>
          </w:p>
        </w:tc>
        <w:tc>
          <w:tcPr>
            <w:tcW w:w="1051" w:type="dxa"/>
          </w:tcPr>
          <w:p w14:paraId="6C51830C" w14:textId="77777777" w:rsidR="00F02686" w:rsidRPr="00F02686" w:rsidRDefault="00F02686" w:rsidP="00F02686">
            <w:pPr>
              <w:spacing w:line="480" w:lineRule="auto"/>
              <w:jc w:val="center"/>
            </w:pPr>
            <w:r w:rsidRPr="00F02686">
              <w:t>285</w:t>
            </w:r>
          </w:p>
        </w:tc>
        <w:tc>
          <w:tcPr>
            <w:tcW w:w="1051" w:type="dxa"/>
          </w:tcPr>
          <w:p w14:paraId="0E1D5913" w14:textId="77777777" w:rsidR="00F02686" w:rsidRPr="00F02686" w:rsidRDefault="00F02686" w:rsidP="00F02686">
            <w:pPr>
              <w:spacing w:line="480" w:lineRule="auto"/>
              <w:jc w:val="center"/>
            </w:pPr>
            <w:r w:rsidRPr="00F02686">
              <w:t>285</w:t>
            </w:r>
          </w:p>
        </w:tc>
        <w:tc>
          <w:tcPr>
            <w:tcW w:w="1052" w:type="dxa"/>
          </w:tcPr>
          <w:p w14:paraId="16EEEF2B" w14:textId="77777777" w:rsidR="00F02686" w:rsidRPr="00F02686" w:rsidRDefault="00F02686" w:rsidP="00F02686">
            <w:pPr>
              <w:spacing w:line="480" w:lineRule="auto"/>
              <w:jc w:val="center"/>
            </w:pPr>
            <w:r w:rsidRPr="00F02686">
              <w:t>285</w:t>
            </w:r>
          </w:p>
        </w:tc>
        <w:tc>
          <w:tcPr>
            <w:tcW w:w="1052" w:type="dxa"/>
          </w:tcPr>
          <w:p w14:paraId="675A001D" w14:textId="77777777" w:rsidR="00F02686" w:rsidRPr="00F02686" w:rsidRDefault="00F02686" w:rsidP="00F02686">
            <w:pPr>
              <w:spacing w:line="480" w:lineRule="auto"/>
              <w:jc w:val="center"/>
            </w:pPr>
            <w:r w:rsidRPr="00F02686">
              <w:t>285</w:t>
            </w:r>
          </w:p>
        </w:tc>
        <w:tc>
          <w:tcPr>
            <w:tcW w:w="1052" w:type="dxa"/>
          </w:tcPr>
          <w:p w14:paraId="02C33AEC" w14:textId="77777777" w:rsidR="00F02686" w:rsidRPr="00F02686" w:rsidRDefault="00F02686" w:rsidP="00F02686">
            <w:pPr>
              <w:spacing w:line="480" w:lineRule="auto"/>
              <w:jc w:val="center"/>
            </w:pPr>
            <w:r w:rsidRPr="00F02686">
              <w:t>285</w:t>
            </w:r>
          </w:p>
        </w:tc>
        <w:tc>
          <w:tcPr>
            <w:tcW w:w="976" w:type="dxa"/>
          </w:tcPr>
          <w:p w14:paraId="16B80FCE" w14:textId="77777777" w:rsidR="00F02686" w:rsidRPr="00F02686" w:rsidRDefault="00F02686" w:rsidP="00F02686">
            <w:pPr>
              <w:spacing w:line="480" w:lineRule="auto"/>
              <w:jc w:val="center"/>
            </w:pPr>
            <w:r w:rsidRPr="00F02686">
              <w:t>285</w:t>
            </w:r>
          </w:p>
        </w:tc>
      </w:tr>
      <w:tr w:rsidR="007E7254" w:rsidRPr="00F02686" w14:paraId="7C5462BC" w14:textId="77777777" w:rsidTr="00FF7FB1">
        <w:trPr>
          <w:trHeight w:val="296"/>
        </w:trPr>
        <w:tc>
          <w:tcPr>
            <w:tcW w:w="1375" w:type="dxa"/>
          </w:tcPr>
          <w:p w14:paraId="4F947B7B" w14:textId="68E60789" w:rsidR="007E7254" w:rsidRPr="00F02686" w:rsidRDefault="007E7254" w:rsidP="007E7254">
            <w:r>
              <w:t xml:space="preserve">Spending </w:t>
            </w:r>
            <w:r>
              <w:br/>
              <w:t>(in Millions)</w:t>
            </w:r>
          </w:p>
        </w:tc>
        <w:tc>
          <w:tcPr>
            <w:tcW w:w="1052" w:type="dxa"/>
          </w:tcPr>
          <w:p w14:paraId="0E520AB5" w14:textId="33168D1E" w:rsidR="007E7254" w:rsidRPr="00F02686" w:rsidRDefault="007E7254" w:rsidP="00F02686">
            <w:pPr>
              <w:spacing w:line="480" w:lineRule="auto"/>
              <w:jc w:val="center"/>
            </w:pPr>
            <w:r>
              <w:t>$7</w:t>
            </w:r>
            <w:r w:rsidR="00C43433">
              <w:t>.0</w:t>
            </w:r>
          </w:p>
        </w:tc>
        <w:tc>
          <w:tcPr>
            <w:tcW w:w="1051" w:type="dxa"/>
          </w:tcPr>
          <w:p w14:paraId="7C71803E" w14:textId="741466A5" w:rsidR="007E7254" w:rsidRPr="00F02686" w:rsidRDefault="007E7254" w:rsidP="00F02686">
            <w:pPr>
              <w:spacing w:line="480" w:lineRule="auto"/>
              <w:jc w:val="center"/>
            </w:pPr>
            <w:r>
              <w:t>$7</w:t>
            </w:r>
            <w:r w:rsidR="00C43433">
              <w:t>.0</w:t>
            </w:r>
          </w:p>
        </w:tc>
        <w:tc>
          <w:tcPr>
            <w:tcW w:w="1051" w:type="dxa"/>
          </w:tcPr>
          <w:p w14:paraId="2951B719" w14:textId="5B226642" w:rsidR="007E7254" w:rsidRPr="00F02686" w:rsidRDefault="007E7254" w:rsidP="00F02686">
            <w:pPr>
              <w:spacing w:line="480" w:lineRule="auto"/>
              <w:jc w:val="center"/>
            </w:pPr>
            <w:r>
              <w:t>$7</w:t>
            </w:r>
            <w:r w:rsidR="00C43433">
              <w:t>.0</w:t>
            </w:r>
          </w:p>
        </w:tc>
        <w:tc>
          <w:tcPr>
            <w:tcW w:w="1051" w:type="dxa"/>
          </w:tcPr>
          <w:p w14:paraId="3EE9F533" w14:textId="462A6CE0" w:rsidR="007E7254" w:rsidRPr="00F02686" w:rsidRDefault="007E7254" w:rsidP="00F02686">
            <w:pPr>
              <w:spacing w:line="480" w:lineRule="auto"/>
              <w:jc w:val="center"/>
            </w:pPr>
            <w:r>
              <w:t>$7</w:t>
            </w:r>
            <w:r w:rsidR="00C43433">
              <w:t>.0</w:t>
            </w:r>
          </w:p>
        </w:tc>
        <w:tc>
          <w:tcPr>
            <w:tcW w:w="1051" w:type="dxa"/>
          </w:tcPr>
          <w:p w14:paraId="30708B6E" w14:textId="74C5916D" w:rsidR="007E7254" w:rsidRPr="00F02686" w:rsidRDefault="007E7254" w:rsidP="00F02686">
            <w:pPr>
              <w:spacing w:line="480" w:lineRule="auto"/>
              <w:jc w:val="center"/>
            </w:pPr>
            <w:r>
              <w:t>$7</w:t>
            </w:r>
            <w:r w:rsidR="00C43433">
              <w:t>.0</w:t>
            </w:r>
          </w:p>
        </w:tc>
        <w:tc>
          <w:tcPr>
            <w:tcW w:w="1051" w:type="dxa"/>
          </w:tcPr>
          <w:p w14:paraId="68A1D5FF" w14:textId="39352287" w:rsidR="007E7254" w:rsidRPr="00F02686" w:rsidRDefault="007E7254" w:rsidP="00F02686">
            <w:pPr>
              <w:spacing w:line="480" w:lineRule="auto"/>
              <w:jc w:val="center"/>
            </w:pPr>
            <w:r>
              <w:t>$7</w:t>
            </w:r>
            <w:r w:rsidR="00C43433">
              <w:t>.0</w:t>
            </w:r>
          </w:p>
        </w:tc>
        <w:tc>
          <w:tcPr>
            <w:tcW w:w="1051" w:type="dxa"/>
          </w:tcPr>
          <w:p w14:paraId="239B8C14" w14:textId="196259AF" w:rsidR="007E7254" w:rsidRPr="00F02686" w:rsidRDefault="007E7254" w:rsidP="00F02686">
            <w:pPr>
              <w:spacing w:line="480" w:lineRule="auto"/>
              <w:jc w:val="center"/>
            </w:pPr>
            <w:r>
              <w:t>$20</w:t>
            </w:r>
            <w:r w:rsidR="00C43433">
              <w:t>.0</w:t>
            </w:r>
          </w:p>
        </w:tc>
        <w:tc>
          <w:tcPr>
            <w:tcW w:w="1052" w:type="dxa"/>
          </w:tcPr>
          <w:p w14:paraId="21599915" w14:textId="3AFF1A51" w:rsidR="007E7254" w:rsidRPr="00F02686" w:rsidRDefault="007E7254" w:rsidP="00F02686">
            <w:pPr>
              <w:spacing w:line="480" w:lineRule="auto"/>
              <w:jc w:val="center"/>
            </w:pPr>
            <w:r>
              <w:t>$20</w:t>
            </w:r>
            <w:r w:rsidR="00C43433">
              <w:t>.0</w:t>
            </w:r>
          </w:p>
        </w:tc>
        <w:tc>
          <w:tcPr>
            <w:tcW w:w="1052" w:type="dxa"/>
          </w:tcPr>
          <w:p w14:paraId="05528EDA" w14:textId="62D5EE29" w:rsidR="007E7254" w:rsidRPr="00F02686" w:rsidRDefault="007E7254" w:rsidP="00F02686">
            <w:pPr>
              <w:spacing w:line="480" w:lineRule="auto"/>
              <w:jc w:val="center"/>
            </w:pPr>
            <w:r>
              <w:t>$20</w:t>
            </w:r>
            <w:r w:rsidR="00C43433">
              <w:t>.0</w:t>
            </w:r>
          </w:p>
        </w:tc>
        <w:tc>
          <w:tcPr>
            <w:tcW w:w="1052" w:type="dxa"/>
          </w:tcPr>
          <w:p w14:paraId="4B3EFAF7" w14:textId="6567519E" w:rsidR="007E7254" w:rsidRPr="00F02686" w:rsidRDefault="007E7254" w:rsidP="00F02686">
            <w:pPr>
              <w:spacing w:line="480" w:lineRule="auto"/>
              <w:jc w:val="center"/>
            </w:pPr>
            <w:r>
              <w:t>$20</w:t>
            </w:r>
            <w:r w:rsidR="00C43433">
              <w:t>.0</w:t>
            </w:r>
          </w:p>
        </w:tc>
        <w:tc>
          <w:tcPr>
            <w:tcW w:w="976" w:type="dxa"/>
          </w:tcPr>
          <w:p w14:paraId="4A2EB14B" w14:textId="40AC2C0C" w:rsidR="007E7254" w:rsidRPr="00F02686" w:rsidRDefault="007E7254" w:rsidP="00F02686">
            <w:pPr>
              <w:spacing w:line="480" w:lineRule="auto"/>
              <w:jc w:val="center"/>
            </w:pPr>
            <w:r>
              <w:t>$20</w:t>
            </w:r>
            <w:r w:rsidR="00C43433">
              <w:t>.0</w:t>
            </w:r>
          </w:p>
        </w:tc>
      </w:tr>
    </w:tbl>
    <w:p w14:paraId="60740598" w14:textId="77777777" w:rsidR="00F02686" w:rsidRPr="00F02686" w:rsidRDefault="00F02686" w:rsidP="00F02686">
      <w:pPr>
        <w:spacing w:line="480" w:lineRule="auto"/>
        <w:jc w:val="center"/>
      </w:pPr>
    </w:p>
    <w:p w14:paraId="5E076F6F" w14:textId="6D3F7177" w:rsidR="00F02686" w:rsidRDefault="00F02686" w:rsidP="00F02686">
      <w:pPr>
        <w:spacing w:line="480" w:lineRule="auto"/>
      </w:pPr>
      <w:r w:rsidRPr="00F02686">
        <w:t xml:space="preserve">Source: ZIM Shipping and the Dragas Center for Economic Analysis and Policy. </w:t>
      </w:r>
      <w:r w:rsidR="007E7254">
        <w:t>Spending is in millions of nominal dollars.</w:t>
      </w:r>
    </w:p>
    <w:p w14:paraId="35F0CD61" w14:textId="2527AB2C" w:rsidR="00D17EDF" w:rsidRDefault="00D17EDF" w:rsidP="00F02686">
      <w:pPr>
        <w:spacing w:line="480" w:lineRule="auto"/>
      </w:pPr>
    </w:p>
    <w:p w14:paraId="71FB4A76" w14:textId="77777777" w:rsidR="00D17EDF" w:rsidRDefault="00D17EDF">
      <w:pPr>
        <w:rPr>
          <w:b/>
          <w:bCs/>
        </w:rPr>
      </w:pPr>
      <w:r>
        <w:rPr>
          <w:b/>
          <w:bCs/>
        </w:rPr>
        <w:br w:type="page"/>
      </w:r>
    </w:p>
    <w:p w14:paraId="4658446E" w14:textId="7DE915EE" w:rsidR="00D17EDF" w:rsidRPr="00F02686" w:rsidRDefault="00D17EDF" w:rsidP="00D17EDF">
      <w:pPr>
        <w:jc w:val="center"/>
        <w:rPr>
          <w:b/>
          <w:bCs/>
        </w:rPr>
      </w:pPr>
      <w:r w:rsidRPr="00F02686">
        <w:rPr>
          <w:b/>
          <w:bCs/>
        </w:rPr>
        <w:lastRenderedPageBreak/>
        <w:t>Table 2</w:t>
      </w:r>
    </w:p>
    <w:p w14:paraId="434605AE" w14:textId="77777777" w:rsidR="00D17EDF" w:rsidRPr="00F02686" w:rsidRDefault="00D17EDF" w:rsidP="00D17EDF">
      <w:pPr>
        <w:jc w:val="center"/>
        <w:rPr>
          <w:b/>
          <w:bCs/>
        </w:rPr>
      </w:pPr>
      <w:r w:rsidRPr="00F02686">
        <w:rPr>
          <w:b/>
          <w:bCs/>
        </w:rPr>
        <w:t>Estimated Incremental Economic Impacts</w:t>
      </w:r>
    </w:p>
    <w:p w14:paraId="7054B641" w14:textId="77777777" w:rsidR="00D17EDF" w:rsidRPr="00F02686" w:rsidRDefault="00D17EDF" w:rsidP="00D17EDF">
      <w:pPr>
        <w:jc w:val="center"/>
        <w:rPr>
          <w:b/>
          <w:bCs/>
        </w:rPr>
      </w:pPr>
      <w:r w:rsidRPr="00F02686">
        <w:rPr>
          <w:b/>
          <w:bCs/>
        </w:rPr>
        <w:t>ZIM Shipping’s Operations in the Commonwealth of Virginia</w:t>
      </w:r>
    </w:p>
    <w:p w14:paraId="586086ED" w14:textId="0EF54515" w:rsidR="00D17EDF" w:rsidRDefault="00D17EDF" w:rsidP="00D17EDF">
      <w:pPr>
        <w:jc w:val="center"/>
        <w:rPr>
          <w:b/>
          <w:bCs/>
        </w:rPr>
      </w:pPr>
      <w:r w:rsidRPr="00F02686">
        <w:rPr>
          <w:b/>
          <w:bCs/>
        </w:rPr>
        <w:t>2009 – 2019</w:t>
      </w:r>
    </w:p>
    <w:p w14:paraId="7267EB00" w14:textId="77777777" w:rsidR="00EC4606" w:rsidRPr="00F02686" w:rsidRDefault="00EC4606" w:rsidP="00D17EDF">
      <w:pPr>
        <w:jc w:val="center"/>
        <w:rPr>
          <w:b/>
          <w:bCs/>
        </w:rPr>
      </w:pPr>
    </w:p>
    <w:tbl>
      <w:tblPr>
        <w:tblStyle w:val="TableGrid"/>
        <w:tblW w:w="5000" w:type="pct"/>
        <w:jc w:val="center"/>
        <w:tblLook w:val="04A0" w:firstRow="1" w:lastRow="0" w:firstColumn="1" w:lastColumn="0" w:noHBand="0" w:noVBand="1"/>
      </w:tblPr>
      <w:tblGrid>
        <w:gridCol w:w="2590"/>
        <w:gridCol w:w="2590"/>
        <w:gridCol w:w="2590"/>
        <w:gridCol w:w="2590"/>
        <w:gridCol w:w="2590"/>
      </w:tblGrid>
      <w:tr w:rsidR="00D17EDF" w:rsidRPr="00F02686" w14:paraId="6C18E4A6" w14:textId="77777777" w:rsidTr="00873B4E">
        <w:trPr>
          <w:trHeight w:val="350"/>
          <w:jc w:val="center"/>
        </w:trPr>
        <w:tc>
          <w:tcPr>
            <w:tcW w:w="1000" w:type="pct"/>
          </w:tcPr>
          <w:p w14:paraId="58C5599A" w14:textId="77777777" w:rsidR="00D17EDF" w:rsidRPr="00F02686" w:rsidRDefault="00D17EDF" w:rsidP="00873B4E">
            <w:pPr>
              <w:jc w:val="center"/>
              <w:rPr>
                <w:b/>
                <w:bCs/>
              </w:rPr>
            </w:pPr>
            <w:r w:rsidRPr="00F02686">
              <w:rPr>
                <w:b/>
                <w:bCs/>
              </w:rPr>
              <w:t>Year</w:t>
            </w:r>
          </w:p>
        </w:tc>
        <w:tc>
          <w:tcPr>
            <w:tcW w:w="1000" w:type="pct"/>
          </w:tcPr>
          <w:p w14:paraId="260B4496" w14:textId="77777777" w:rsidR="00D17EDF" w:rsidRPr="00F02686" w:rsidRDefault="00D17EDF" w:rsidP="00873B4E">
            <w:pPr>
              <w:jc w:val="center"/>
              <w:rPr>
                <w:b/>
                <w:bCs/>
              </w:rPr>
            </w:pPr>
            <w:r>
              <w:rPr>
                <w:b/>
                <w:bCs/>
              </w:rPr>
              <w:t>Increase in Nonfarm Payrolls from ZIM Employment</w:t>
            </w:r>
          </w:p>
        </w:tc>
        <w:tc>
          <w:tcPr>
            <w:tcW w:w="1000" w:type="pct"/>
          </w:tcPr>
          <w:p w14:paraId="1952E797" w14:textId="77777777" w:rsidR="00D17EDF" w:rsidRPr="00F02686" w:rsidRDefault="00D17EDF" w:rsidP="00873B4E">
            <w:pPr>
              <w:jc w:val="center"/>
              <w:rPr>
                <w:b/>
                <w:bCs/>
              </w:rPr>
            </w:pPr>
            <w:r>
              <w:rPr>
                <w:b/>
                <w:bCs/>
              </w:rPr>
              <w:t>Increase in Nonfarm Payrolls from ZIM Spending</w:t>
            </w:r>
          </w:p>
        </w:tc>
        <w:tc>
          <w:tcPr>
            <w:tcW w:w="1000" w:type="pct"/>
          </w:tcPr>
          <w:p w14:paraId="1C8B4F12" w14:textId="77777777" w:rsidR="00D17EDF" w:rsidRPr="00F02686" w:rsidRDefault="00D17EDF" w:rsidP="00873B4E">
            <w:pPr>
              <w:jc w:val="center"/>
              <w:rPr>
                <w:b/>
                <w:bCs/>
              </w:rPr>
            </w:pPr>
            <w:r>
              <w:rPr>
                <w:b/>
                <w:bCs/>
              </w:rPr>
              <w:t>Increase in Gross Output from ZIM Employment</w:t>
            </w:r>
          </w:p>
        </w:tc>
        <w:tc>
          <w:tcPr>
            <w:tcW w:w="1000" w:type="pct"/>
          </w:tcPr>
          <w:p w14:paraId="27651665" w14:textId="77777777" w:rsidR="00D17EDF" w:rsidRPr="00F02686" w:rsidRDefault="00D17EDF" w:rsidP="00873B4E">
            <w:pPr>
              <w:jc w:val="center"/>
              <w:rPr>
                <w:b/>
                <w:bCs/>
              </w:rPr>
            </w:pPr>
            <w:r>
              <w:rPr>
                <w:b/>
                <w:bCs/>
              </w:rPr>
              <w:t>Increase in Gross Output from ZIM Spending</w:t>
            </w:r>
          </w:p>
        </w:tc>
      </w:tr>
      <w:tr w:rsidR="00D17EDF" w:rsidRPr="00F02686" w14:paraId="149D54F3" w14:textId="77777777" w:rsidTr="00873B4E">
        <w:trPr>
          <w:trHeight w:val="79"/>
          <w:jc w:val="center"/>
        </w:trPr>
        <w:tc>
          <w:tcPr>
            <w:tcW w:w="1000" w:type="pct"/>
          </w:tcPr>
          <w:p w14:paraId="1208AAD8" w14:textId="77777777" w:rsidR="00D17EDF" w:rsidRPr="00F02686" w:rsidRDefault="00D17EDF" w:rsidP="00873B4E">
            <w:pPr>
              <w:jc w:val="center"/>
            </w:pPr>
            <w:r w:rsidRPr="00F02686">
              <w:t>2009</w:t>
            </w:r>
          </w:p>
        </w:tc>
        <w:tc>
          <w:tcPr>
            <w:tcW w:w="1000" w:type="pct"/>
          </w:tcPr>
          <w:p w14:paraId="718EE1BB" w14:textId="77777777" w:rsidR="00D17EDF" w:rsidRPr="00F02686" w:rsidRDefault="00D17EDF" w:rsidP="00873B4E">
            <w:pPr>
              <w:jc w:val="center"/>
            </w:pPr>
            <w:r>
              <w:rPr>
                <w:rFonts w:ascii="Calibri" w:hAnsi="Calibri" w:cs="Calibri"/>
                <w:color w:val="000000"/>
                <w:sz w:val="22"/>
                <w:szCs w:val="22"/>
              </w:rPr>
              <w:t>560</w:t>
            </w:r>
          </w:p>
        </w:tc>
        <w:tc>
          <w:tcPr>
            <w:tcW w:w="1000" w:type="pct"/>
          </w:tcPr>
          <w:p w14:paraId="1176A4CB" w14:textId="77777777" w:rsidR="00D17EDF" w:rsidRPr="00F02686" w:rsidRDefault="00D17EDF" w:rsidP="00873B4E">
            <w:pPr>
              <w:jc w:val="center"/>
            </w:pPr>
            <w:r>
              <w:rPr>
                <w:rFonts w:ascii="Calibri" w:hAnsi="Calibri" w:cs="Calibri"/>
                <w:color w:val="000000"/>
                <w:sz w:val="22"/>
                <w:szCs w:val="22"/>
              </w:rPr>
              <w:t>54</w:t>
            </w:r>
          </w:p>
        </w:tc>
        <w:tc>
          <w:tcPr>
            <w:tcW w:w="1000" w:type="pct"/>
          </w:tcPr>
          <w:p w14:paraId="0F9CBBEB" w14:textId="77777777" w:rsidR="00D17EDF" w:rsidRPr="00F02686" w:rsidRDefault="00D17EDF" w:rsidP="00873B4E">
            <w:pPr>
              <w:jc w:val="center"/>
            </w:pPr>
            <w:r w:rsidRPr="00F02686">
              <w:t>$87,691,270</w:t>
            </w:r>
          </w:p>
        </w:tc>
        <w:tc>
          <w:tcPr>
            <w:tcW w:w="1000" w:type="pct"/>
          </w:tcPr>
          <w:p w14:paraId="0AE1D461" w14:textId="77777777" w:rsidR="00D17EDF" w:rsidRPr="00F02686" w:rsidRDefault="00D17EDF" w:rsidP="00873B4E">
            <w:pPr>
              <w:jc w:val="center"/>
            </w:pPr>
            <w:r w:rsidRPr="00454F2C">
              <w:t xml:space="preserve"> $9,983,999 </w:t>
            </w:r>
          </w:p>
        </w:tc>
      </w:tr>
      <w:tr w:rsidR="00D17EDF" w:rsidRPr="00F02686" w14:paraId="3A0AC3C4" w14:textId="77777777" w:rsidTr="00873B4E">
        <w:trPr>
          <w:trHeight w:val="323"/>
          <w:jc w:val="center"/>
        </w:trPr>
        <w:tc>
          <w:tcPr>
            <w:tcW w:w="1000" w:type="pct"/>
          </w:tcPr>
          <w:p w14:paraId="72D09B3B" w14:textId="77777777" w:rsidR="00D17EDF" w:rsidRPr="00F02686" w:rsidRDefault="00D17EDF" w:rsidP="00873B4E">
            <w:pPr>
              <w:jc w:val="center"/>
            </w:pPr>
            <w:r w:rsidRPr="00F02686">
              <w:t>2010</w:t>
            </w:r>
          </w:p>
        </w:tc>
        <w:tc>
          <w:tcPr>
            <w:tcW w:w="1000" w:type="pct"/>
          </w:tcPr>
          <w:p w14:paraId="47E02609" w14:textId="77777777" w:rsidR="00D17EDF" w:rsidRPr="00F02686" w:rsidRDefault="00D17EDF" w:rsidP="00873B4E">
            <w:pPr>
              <w:jc w:val="center"/>
            </w:pPr>
            <w:r>
              <w:rPr>
                <w:rFonts w:ascii="Calibri" w:hAnsi="Calibri" w:cs="Calibri"/>
                <w:color w:val="000000"/>
                <w:sz w:val="22"/>
                <w:szCs w:val="22"/>
              </w:rPr>
              <w:t>560</w:t>
            </w:r>
          </w:p>
        </w:tc>
        <w:tc>
          <w:tcPr>
            <w:tcW w:w="1000" w:type="pct"/>
          </w:tcPr>
          <w:p w14:paraId="7D200DFE" w14:textId="77777777" w:rsidR="00D17EDF" w:rsidRPr="00F02686" w:rsidRDefault="00D17EDF" w:rsidP="00873B4E">
            <w:pPr>
              <w:jc w:val="center"/>
            </w:pPr>
            <w:r>
              <w:rPr>
                <w:rFonts w:ascii="Calibri" w:hAnsi="Calibri" w:cs="Calibri"/>
                <w:color w:val="000000"/>
                <w:sz w:val="22"/>
                <w:szCs w:val="22"/>
              </w:rPr>
              <w:t>54</w:t>
            </w:r>
          </w:p>
        </w:tc>
        <w:tc>
          <w:tcPr>
            <w:tcW w:w="1000" w:type="pct"/>
          </w:tcPr>
          <w:p w14:paraId="51C5CA99" w14:textId="77777777" w:rsidR="00D17EDF" w:rsidRPr="00F02686" w:rsidRDefault="00D17EDF" w:rsidP="00873B4E">
            <w:pPr>
              <w:jc w:val="center"/>
            </w:pPr>
            <w:r w:rsidRPr="00F02686">
              <w:t>$89,126,397</w:t>
            </w:r>
          </w:p>
        </w:tc>
        <w:tc>
          <w:tcPr>
            <w:tcW w:w="1000" w:type="pct"/>
          </w:tcPr>
          <w:p w14:paraId="2BFA3D34" w14:textId="77777777" w:rsidR="00D17EDF" w:rsidRPr="00F02686" w:rsidRDefault="00D17EDF" w:rsidP="00873B4E">
            <w:pPr>
              <w:jc w:val="center"/>
            </w:pPr>
            <w:r w:rsidRPr="00454F2C">
              <w:t xml:space="preserve"> $9,983,999 </w:t>
            </w:r>
          </w:p>
        </w:tc>
      </w:tr>
      <w:tr w:rsidR="00D17EDF" w:rsidRPr="00F02686" w14:paraId="12683AF8" w14:textId="77777777" w:rsidTr="00873B4E">
        <w:trPr>
          <w:trHeight w:val="350"/>
          <w:jc w:val="center"/>
        </w:trPr>
        <w:tc>
          <w:tcPr>
            <w:tcW w:w="1000" w:type="pct"/>
          </w:tcPr>
          <w:p w14:paraId="4A0501CE" w14:textId="77777777" w:rsidR="00D17EDF" w:rsidRPr="00F02686" w:rsidRDefault="00D17EDF" w:rsidP="00873B4E">
            <w:pPr>
              <w:jc w:val="center"/>
            </w:pPr>
            <w:r w:rsidRPr="00F02686">
              <w:t>2011</w:t>
            </w:r>
          </w:p>
        </w:tc>
        <w:tc>
          <w:tcPr>
            <w:tcW w:w="1000" w:type="pct"/>
          </w:tcPr>
          <w:p w14:paraId="3D23203E" w14:textId="77777777" w:rsidR="00D17EDF" w:rsidRPr="00F02686" w:rsidRDefault="00D17EDF" w:rsidP="00873B4E">
            <w:pPr>
              <w:jc w:val="center"/>
            </w:pPr>
            <w:r>
              <w:rPr>
                <w:rFonts w:ascii="Calibri" w:hAnsi="Calibri" w:cs="Calibri"/>
                <w:color w:val="000000"/>
                <w:sz w:val="22"/>
                <w:szCs w:val="22"/>
              </w:rPr>
              <w:t>415</w:t>
            </w:r>
          </w:p>
        </w:tc>
        <w:tc>
          <w:tcPr>
            <w:tcW w:w="1000" w:type="pct"/>
          </w:tcPr>
          <w:p w14:paraId="0798AD4A" w14:textId="77777777" w:rsidR="00D17EDF" w:rsidRPr="00F02686" w:rsidRDefault="00D17EDF" w:rsidP="00873B4E">
            <w:pPr>
              <w:jc w:val="center"/>
            </w:pPr>
            <w:r>
              <w:rPr>
                <w:rFonts w:ascii="Calibri" w:hAnsi="Calibri" w:cs="Calibri"/>
                <w:color w:val="000000"/>
                <w:sz w:val="22"/>
                <w:szCs w:val="22"/>
              </w:rPr>
              <w:t>54</w:t>
            </w:r>
          </w:p>
        </w:tc>
        <w:tc>
          <w:tcPr>
            <w:tcW w:w="1000" w:type="pct"/>
          </w:tcPr>
          <w:p w14:paraId="073C9D4B" w14:textId="77777777" w:rsidR="00D17EDF" w:rsidRPr="00F02686" w:rsidRDefault="00D17EDF" w:rsidP="00873B4E">
            <w:pPr>
              <w:jc w:val="center"/>
            </w:pPr>
            <w:r w:rsidRPr="00F02686">
              <w:t>$68,048,124</w:t>
            </w:r>
          </w:p>
        </w:tc>
        <w:tc>
          <w:tcPr>
            <w:tcW w:w="1000" w:type="pct"/>
          </w:tcPr>
          <w:p w14:paraId="3B6AFC92" w14:textId="77777777" w:rsidR="00D17EDF" w:rsidRPr="00F02686" w:rsidRDefault="00D17EDF" w:rsidP="00873B4E">
            <w:pPr>
              <w:jc w:val="center"/>
            </w:pPr>
            <w:r w:rsidRPr="00454F2C">
              <w:t xml:space="preserve"> $9,983,999 </w:t>
            </w:r>
          </w:p>
        </w:tc>
      </w:tr>
      <w:tr w:rsidR="00D17EDF" w:rsidRPr="00F02686" w14:paraId="5E9A6BA8" w14:textId="77777777" w:rsidTr="00873B4E">
        <w:trPr>
          <w:trHeight w:val="251"/>
          <w:jc w:val="center"/>
        </w:trPr>
        <w:tc>
          <w:tcPr>
            <w:tcW w:w="1000" w:type="pct"/>
          </w:tcPr>
          <w:p w14:paraId="43AAEBF9" w14:textId="77777777" w:rsidR="00D17EDF" w:rsidRPr="00F02686" w:rsidRDefault="00D17EDF" w:rsidP="00873B4E">
            <w:pPr>
              <w:jc w:val="center"/>
            </w:pPr>
            <w:r w:rsidRPr="00F02686">
              <w:t>2012</w:t>
            </w:r>
          </w:p>
        </w:tc>
        <w:tc>
          <w:tcPr>
            <w:tcW w:w="1000" w:type="pct"/>
          </w:tcPr>
          <w:p w14:paraId="0F2B8BEC" w14:textId="77777777" w:rsidR="00D17EDF" w:rsidRPr="00F02686" w:rsidRDefault="00D17EDF" w:rsidP="00873B4E">
            <w:pPr>
              <w:jc w:val="center"/>
            </w:pPr>
            <w:r>
              <w:rPr>
                <w:rFonts w:ascii="Calibri" w:hAnsi="Calibri" w:cs="Calibri"/>
                <w:color w:val="000000"/>
                <w:sz w:val="22"/>
                <w:szCs w:val="22"/>
              </w:rPr>
              <w:t>415</w:t>
            </w:r>
          </w:p>
        </w:tc>
        <w:tc>
          <w:tcPr>
            <w:tcW w:w="1000" w:type="pct"/>
          </w:tcPr>
          <w:p w14:paraId="14A395C2" w14:textId="77777777" w:rsidR="00D17EDF" w:rsidRPr="00F02686" w:rsidRDefault="00D17EDF" w:rsidP="00873B4E">
            <w:pPr>
              <w:jc w:val="center"/>
            </w:pPr>
            <w:r>
              <w:rPr>
                <w:rFonts w:ascii="Calibri" w:hAnsi="Calibri" w:cs="Calibri"/>
                <w:color w:val="000000"/>
                <w:sz w:val="22"/>
                <w:szCs w:val="22"/>
              </w:rPr>
              <w:t>54</w:t>
            </w:r>
          </w:p>
        </w:tc>
        <w:tc>
          <w:tcPr>
            <w:tcW w:w="1000" w:type="pct"/>
          </w:tcPr>
          <w:p w14:paraId="62B4EFB8" w14:textId="77777777" w:rsidR="00D17EDF" w:rsidRPr="00F02686" w:rsidRDefault="00D17EDF" w:rsidP="00873B4E">
            <w:pPr>
              <w:jc w:val="center"/>
            </w:pPr>
            <w:r w:rsidRPr="00F02686">
              <w:t>$69,458,889</w:t>
            </w:r>
          </w:p>
        </w:tc>
        <w:tc>
          <w:tcPr>
            <w:tcW w:w="1000" w:type="pct"/>
          </w:tcPr>
          <w:p w14:paraId="525D412E" w14:textId="77777777" w:rsidR="00D17EDF" w:rsidRPr="00F02686" w:rsidRDefault="00D17EDF" w:rsidP="00873B4E">
            <w:pPr>
              <w:jc w:val="center"/>
            </w:pPr>
            <w:r w:rsidRPr="00454F2C">
              <w:t xml:space="preserve"> $9,983,999 </w:t>
            </w:r>
          </w:p>
        </w:tc>
      </w:tr>
      <w:tr w:rsidR="00D17EDF" w:rsidRPr="00F02686" w14:paraId="1DF6EA4D" w14:textId="77777777" w:rsidTr="00873B4E">
        <w:trPr>
          <w:trHeight w:val="215"/>
          <w:jc w:val="center"/>
        </w:trPr>
        <w:tc>
          <w:tcPr>
            <w:tcW w:w="1000" w:type="pct"/>
          </w:tcPr>
          <w:p w14:paraId="65210616" w14:textId="77777777" w:rsidR="00D17EDF" w:rsidRPr="00F02686" w:rsidRDefault="00D17EDF" w:rsidP="00873B4E">
            <w:pPr>
              <w:jc w:val="center"/>
            </w:pPr>
            <w:r w:rsidRPr="00F02686">
              <w:t>2013</w:t>
            </w:r>
          </w:p>
        </w:tc>
        <w:tc>
          <w:tcPr>
            <w:tcW w:w="1000" w:type="pct"/>
          </w:tcPr>
          <w:p w14:paraId="3EF37613" w14:textId="77777777" w:rsidR="00D17EDF" w:rsidRPr="00F02686" w:rsidRDefault="00D17EDF" w:rsidP="00873B4E">
            <w:pPr>
              <w:jc w:val="center"/>
            </w:pPr>
            <w:r>
              <w:rPr>
                <w:rFonts w:ascii="Calibri" w:hAnsi="Calibri" w:cs="Calibri"/>
                <w:color w:val="000000"/>
                <w:sz w:val="22"/>
                <w:szCs w:val="22"/>
              </w:rPr>
              <w:t>415</w:t>
            </w:r>
          </w:p>
        </w:tc>
        <w:tc>
          <w:tcPr>
            <w:tcW w:w="1000" w:type="pct"/>
          </w:tcPr>
          <w:p w14:paraId="1D0588F4" w14:textId="77777777" w:rsidR="00D17EDF" w:rsidRPr="00F02686" w:rsidRDefault="00D17EDF" w:rsidP="00873B4E">
            <w:pPr>
              <w:jc w:val="center"/>
            </w:pPr>
            <w:r>
              <w:rPr>
                <w:rFonts w:ascii="Calibri" w:hAnsi="Calibri" w:cs="Calibri"/>
                <w:color w:val="000000"/>
                <w:sz w:val="22"/>
                <w:szCs w:val="22"/>
              </w:rPr>
              <w:t>54</w:t>
            </w:r>
          </w:p>
        </w:tc>
        <w:tc>
          <w:tcPr>
            <w:tcW w:w="1000" w:type="pct"/>
          </w:tcPr>
          <w:p w14:paraId="7863A824" w14:textId="77777777" w:rsidR="00D17EDF" w:rsidRPr="00F02686" w:rsidRDefault="00D17EDF" w:rsidP="00873B4E">
            <w:pPr>
              <w:jc w:val="center"/>
            </w:pPr>
            <w:r w:rsidRPr="00F02686">
              <w:t>$70,477,137</w:t>
            </w:r>
          </w:p>
        </w:tc>
        <w:tc>
          <w:tcPr>
            <w:tcW w:w="1000" w:type="pct"/>
          </w:tcPr>
          <w:p w14:paraId="2236736D" w14:textId="77777777" w:rsidR="00D17EDF" w:rsidRPr="00F02686" w:rsidRDefault="00D17EDF" w:rsidP="00873B4E">
            <w:pPr>
              <w:jc w:val="center"/>
            </w:pPr>
            <w:r w:rsidRPr="00454F2C">
              <w:t xml:space="preserve"> $9,983,999 </w:t>
            </w:r>
          </w:p>
        </w:tc>
      </w:tr>
      <w:tr w:rsidR="00D17EDF" w:rsidRPr="00F02686" w14:paraId="02C753F2" w14:textId="77777777" w:rsidTr="00873B4E">
        <w:trPr>
          <w:trHeight w:val="188"/>
          <w:jc w:val="center"/>
        </w:trPr>
        <w:tc>
          <w:tcPr>
            <w:tcW w:w="1000" w:type="pct"/>
          </w:tcPr>
          <w:p w14:paraId="24874D50" w14:textId="77777777" w:rsidR="00D17EDF" w:rsidRPr="00F02686" w:rsidRDefault="00D17EDF" w:rsidP="00873B4E">
            <w:pPr>
              <w:jc w:val="center"/>
            </w:pPr>
            <w:r w:rsidRPr="00F02686">
              <w:t>2014</w:t>
            </w:r>
          </w:p>
        </w:tc>
        <w:tc>
          <w:tcPr>
            <w:tcW w:w="1000" w:type="pct"/>
          </w:tcPr>
          <w:p w14:paraId="75ADB885" w14:textId="77777777" w:rsidR="00D17EDF" w:rsidRPr="00F02686" w:rsidRDefault="00D17EDF" w:rsidP="00873B4E">
            <w:pPr>
              <w:jc w:val="center"/>
            </w:pPr>
            <w:r>
              <w:rPr>
                <w:rFonts w:ascii="Calibri" w:hAnsi="Calibri" w:cs="Calibri"/>
                <w:color w:val="000000"/>
                <w:sz w:val="22"/>
                <w:szCs w:val="22"/>
              </w:rPr>
              <w:t>415</w:t>
            </w:r>
          </w:p>
        </w:tc>
        <w:tc>
          <w:tcPr>
            <w:tcW w:w="1000" w:type="pct"/>
          </w:tcPr>
          <w:p w14:paraId="248CCAF1" w14:textId="77777777" w:rsidR="00D17EDF" w:rsidRPr="00F02686" w:rsidRDefault="00D17EDF" w:rsidP="00873B4E">
            <w:pPr>
              <w:jc w:val="center"/>
            </w:pPr>
            <w:r>
              <w:rPr>
                <w:rFonts w:ascii="Calibri" w:hAnsi="Calibri" w:cs="Calibri"/>
                <w:color w:val="000000"/>
                <w:sz w:val="22"/>
                <w:szCs w:val="22"/>
              </w:rPr>
              <w:t>54</w:t>
            </w:r>
          </w:p>
        </w:tc>
        <w:tc>
          <w:tcPr>
            <w:tcW w:w="1000" w:type="pct"/>
          </w:tcPr>
          <w:p w14:paraId="48524682" w14:textId="77777777" w:rsidR="00D17EDF" w:rsidRPr="00F02686" w:rsidRDefault="00D17EDF" w:rsidP="00873B4E">
            <w:pPr>
              <w:jc w:val="center"/>
            </w:pPr>
            <w:r w:rsidRPr="00F02686">
              <w:t>$71,615,673</w:t>
            </w:r>
          </w:p>
        </w:tc>
        <w:tc>
          <w:tcPr>
            <w:tcW w:w="1000" w:type="pct"/>
          </w:tcPr>
          <w:p w14:paraId="1767C398" w14:textId="77777777" w:rsidR="00D17EDF" w:rsidRPr="00F02686" w:rsidRDefault="00D17EDF" w:rsidP="00873B4E">
            <w:pPr>
              <w:jc w:val="center"/>
            </w:pPr>
            <w:r w:rsidRPr="00454F2C">
              <w:t xml:space="preserve"> $9,983,999 </w:t>
            </w:r>
          </w:p>
        </w:tc>
      </w:tr>
      <w:tr w:rsidR="00D17EDF" w:rsidRPr="00F02686" w14:paraId="0E175584" w14:textId="77777777" w:rsidTr="00873B4E">
        <w:trPr>
          <w:trHeight w:val="233"/>
          <w:jc w:val="center"/>
        </w:trPr>
        <w:tc>
          <w:tcPr>
            <w:tcW w:w="1000" w:type="pct"/>
          </w:tcPr>
          <w:p w14:paraId="33EC2775" w14:textId="77777777" w:rsidR="00D17EDF" w:rsidRPr="00F02686" w:rsidRDefault="00D17EDF" w:rsidP="00873B4E">
            <w:pPr>
              <w:jc w:val="center"/>
            </w:pPr>
            <w:r w:rsidRPr="00F02686">
              <w:t>2015</w:t>
            </w:r>
          </w:p>
        </w:tc>
        <w:tc>
          <w:tcPr>
            <w:tcW w:w="1000" w:type="pct"/>
          </w:tcPr>
          <w:p w14:paraId="05B2845C" w14:textId="77777777" w:rsidR="00D17EDF" w:rsidRPr="00F02686" w:rsidRDefault="00D17EDF" w:rsidP="00873B4E">
            <w:pPr>
              <w:jc w:val="center"/>
            </w:pPr>
            <w:r>
              <w:rPr>
                <w:rFonts w:ascii="Calibri" w:hAnsi="Calibri" w:cs="Calibri"/>
                <w:color w:val="000000"/>
                <w:sz w:val="22"/>
                <w:szCs w:val="22"/>
              </w:rPr>
              <w:t>415</w:t>
            </w:r>
          </w:p>
        </w:tc>
        <w:tc>
          <w:tcPr>
            <w:tcW w:w="1000" w:type="pct"/>
          </w:tcPr>
          <w:p w14:paraId="2C8C612A" w14:textId="77777777" w:rsidR="00D17EDF" w:rsidRPr="00F02686" w:rsidRDefault="00D17EDF" w:rsidP="00873B4E">
            <w:pPr>
              <w:jc w:val="center"/>
            </w:pPr>
            <w:r>
              <w:rPr>
                <w:rFonts w:ascii="Calibri" w:hAnsi="Calibri" w:cs="Calibri"/>
                <w:color w:val="000000"/>
                <w:sz w:val="22"/>
                <w:szCs w:val="22"/>
              </w:rPr>
              <w:t>153</w:t>
            </w:r>
          </w:p>
        </w:tc>
        <w:tc>
          <w:tcPr>
            <w:tcW w:w="1000" w:type="pct"/>
          </w:tcPr>
          <w:p w14:paraId="20785463" w14:textId="77777777" w:rsidR="00D17EDF" w:rsidRPr="00F02686" w:rsidRDefault="00D17EDF" w:rsidP="00873B4E">
            <w:pPr>
              <w:jc w:val="center"/>
            </w:pPr>
            <w:r w:rsidRPr="00F02686">
              <w:t>$71,701,242</w:t>
            </w:r>
          </w:p>
        </w:tc>
        <w:tc>
          <w:tcPr>
            <w:tcW w:w="1000" w:type="pct"/>
          </w:tcPr>
          <w:p w14:paraId="434A226C" w14:textId="77777777" w:rsidR="00D17EDF" w:rsidRPr="00F02686" w:rsidRDefault="00D17EDF" w:rsidP="00873B4E">
            <w:pPr>
              <w:jc w:val="center"/>
            </w:pPr>
            <w:r w:rsidRPr="00454F2C">
              <w:t xml:space="preserve"> $28,525,711 </w:t>
            </w:r>
          </w:p>
        </w:tc>
      </w:tr>
      <w:tr w:rsidR="00D17EDF" w:rsidRPr="00F02686" w14:paraId="1214B30A" w14:textId="77777777" w:rsidTr="00873B4E">
        <w:trPr>
          <w:trHeight w:val="116"/>
          <w:jc w:val="center"/>
        </w:trPr>
        <w:tc>
          <w:tcPr>
            <w:tcW w:w="1000" w:type="pct"/>
          </w:tcPr>
          <w:p w14:paraId="303858FC" w14:textId="77777777" w:rsidR="00D17EDF" w:rsidRPr="00F02686" w:rsidRDefault="00D17EDF" w:rsidP="00873B4E">
            <w:pPr>
              <w:jc w:val="center"/>
            </w:pPr>
            <w:r w:rsidRPr="00F02686">
              <w:t>2016</w:t>
            </w:r>
          </w:p>
        </w:tc>
        <w:tc>
          <w:tcPr>
            <w:tcW w:w="1000" w:type="pct"/>
          </w:tcPr>
          <w:p w14:paraId="7CBA7F94" w14:textId="77777777" w:rsidR="00D17EDF" w:rsidRPr="00F02686" w:rsidRDefault="00D17EDF" w:rsidP="00873B4E">
            <w:pPr>
              <w:jc w:val="center"/>
            </w:pPr>
            <w:r>
              <w:rPr>
                <w:rFonts w:ascii="Calibri" w:hAnsi="Calibri" w:cs="Calibri"/>
                <w:color w:val="000000"/>
                <w:sz w:val="22"/>
                <w:szCs w:val="22"/>
              </w:rPr>
              <w:t>415</w:t>
            </w:r>
          </w:p>
        </w:tc>
        <w:tc>
          <w:tcPr>
            <w:tcW w:w="1000" w:type="pct"/>
          </w:tcPr>
          <w:p w14:paraId="19BD4E46" w14:textId="77777777" w:rsidR="00D17EDF" w:rsidRPr="00F02686" w:rsidRDefault="00D17EDF" w:rsidP="00873B4E">
            <w:pPr>
              <w:jc w:val="center"/>
            </w:pPr>
            <w:r>
              <w:rPr>
                <w:rFonts w:ascii="Calibri" w:hAnsi="Calibri" w:cs="Calibri"/>
                <w:color w:val="000000"/>
                <w:sz w:val="22"/>
                <w:szCs w:val="22"/>
              </w:rPr>
              <w:t>153</w:t>
            </w:r>
          </w:p>
        </w:tc>
        <w:tc>
          <w:tcPr>
            <w:tcW w:w="1000" w:type="pct"/>
          </w:tcPr>
          <w:p w14:paraId="0E709080" w14:textId="77777777" w:rsidR="00D17EDF" w:rsidRPr="00F02686" w:rsidRDefault="00D17EDF" w:rsidP="00873B4E">
            <w:pPr>
              <w:jc w:val="center"/>
            </w:pPr>
            <w:r w:rsidRPr="00F02686">
              <w:t>$72,611,854</w:t>
            </w:r>
          </w:p>
        </w:tc>
        <w:tc>
          <w:tcPr>
            <w:tcW w:w="1000" w:type="pct"/>
          </w:tcPr>
          <w:p w14:paraId="0F643367" w14:textId="77777777" w:rsidR="00D17EDF" w:rsidRPr="00F02686" w:rsidRDefault="00D17EDF" w:rsidP="00873B4E">
            <w:pPr>
              <w:jc w:val="center"/>
            </w:pPr>
            <w:r w:rsidRPr="00454F2C">
              <w:t xml:space="preserve"> $28,525,711 </w:t>
            </w:r>
          </w:p>
        </w:tc>
      </w:tr>
      <w:tr w:rsidR="00D17EDF" w:rsidRPr="00F02686" w14:paraId="21BE4275" w14:textId="77777777" w:rsidTr="00873B4E">
        <w:trPr>
          <w:trHeight w:val="79"/>
          <w:jc w:val="center"/>
        </w:trPr>
        <w:tc>
          <w:tcPr>
            <w:tcW w:w="1000" w:type="pct"/>
          </w:tcPr>
          <w:p w14:paraId="3F253816" w14:textId="77777777" w:rsidR="00D17EDF" w:rsidRPr="00F02686" w:rsidRDefault="00D17EDF" w:rsidP="00873B4E">
            <w:pPr>
              <w:jc w:val="center"/>
            </w:pPr>
            <w:r w:rsidRPr="00F02686">
              <w:t>2017</w:t>
            </w:r>
          </w:p>
        </w:tc>
        <w:tc>
          <w:tcPr>
            <w:tcW w:w="1000" w:type="pct"/>
          </w:tcPr>
          <w:p w14:paraId="11E57957" w14:textId="77777777" w:rsidR="00D17EDF" w:rsidRPr="00F02686" w:rsidRDefault="00D17EDF" w:rsidP="00873B4E">
            <w:pPr>
              <w:jc w:val="center"/>
            </w:pPr>
            <w:r>
              <w:rPr>
                <w:rFonts w:ascii="Calibri" w:hAnsi="Calibri" w:cs="Calibri"/>
                <w:color w:val="000000"/>
                <w:sz w:val="22"/>
                <w:szCs w:val="22"/>
              </w:rPr>
              <w:t>415</w:t>
            </w:r>
          </w:p>
        </w:tc>
        <w:tc>
          <w:tcPr>
            <w:tcW w:w="1000" w:type="pct"/>
          </w:tcPr>
          <w:p w14:paraId="2B6CADD0" w14:textId="77777777" w:rsidR="00D17EDF" w:rsidRPr="00F02686" w:rsidRDefault="00D17EDF" w:rsidP="00873B4E">
            <w:pPr>
              <w:jc w:val="center"/>
            </w:pPr>
            <w:r>
              <w:rPr>
                <w:rFonts w:ascii="Calibri" w:hAnsi="Calibri" w:cs="Calibri"/>
                <w:color w:val="000000"/>
                <w:sz w:val="22"/>
                <w:szCs w:val="22"/>
              </w:rPr>
              <w:t>153</w:t>
            </w:r>
          </w:p>
        </w:tc>
        <w:tc>
          <w:tcPr>
            <w:tcW w:w="1000" w:type="pct"/>
          </w:tcPr>
          <w:p w14:paraId="0354C8AD" w14:textId="77777777" w:rsidR="00D17EDF" w:rsidRPr="00F02686" w:rsidRDefault="00D17EDF" w:rsidP="00873B4E">
            <w:pPr>
              <w:jc w:val="center"/>
            </w:pPr>
            <w:r w:rsidRPr="00F02686">
              <w:t>$74,162,801</w:t>
            </w:r>
          </w:p>
        </w:tc>
        <w:tc>
          <w:tcPr>
            <w:tcW w:w="1000" w:type="pct"/>
          </w:tcPr>
          <w:p w14:paraId="66A34C98" w14:textId="77777777" w:rsidR="00D17EDF" w:rsidRPr="00F02686" w:rsidRDefault="00D17EDF" w:rsidP="00873B4E">
            <w:pPr>
              <w:jc w:val="center"/>
            </w:pPr>
            <w:r w:rsidRPr="00454F2C">
              <w:t xml:space="preserve"> $28,525,711 </w:t>
            </w:r>
          </w:p>
        </w:tc>
      </w:tr>
      <w:tr w:rsidR="00D17EDF" w:rsidRPr="00F02686" w14:paraId="2646761C" w14:textId="77777777" w:rsidTr="00873B4E">
        <w:trPr>
          <w:trHeight w:val="143"/>
          <w:jc w:val="center"/>
        </w:trPr>
        <w:tc>
          <w:tcPr>
            <w:tcW w:w="1000" w:type="pct"/>
          </w:tcPr>
          <w:p w14:paraId="1B0847D1" w14:textId="77777777" w:rsidR="00D17EDF" w:rsidRPr="00F02686" w:rsidRDefault="00D17EDF" w:rsidP="00873B4E">
            <w:pPr>
              <w:jc w:val="center"/>
            </w:pPr>
            <w:r w:rsidRPr="00F02686">
              <w:t>2018</w:t>
            </w:r>
          </w:p>
        </w:tc>
        <w:tc>
          <w:tcPr>
            <w:tcW w:w="1000" w:type="pct"/>
          </w:tcPr>
          <w:p w14:paraId="27B7D114" w14:textId="77777777" w:rsidR="00D17EDF" w:rsidRPr="00F02686" w:rsidRDefault="00D17EDF" w:rsidP="00873B4E">
            <w:pPr>
              <w:jc w:val="center"/>
            </w:pPr>
            <w:r>
              <w:rPr>
                <w:rFonts w:ascii="Calibri" w:hAnsi="Calibri" w:cs="Calibri"/>
                <w:color w:val="000000"/>
                <w:sz w:val="22"/>
                <w:szCs w:val="22"/>
              </w:rPr>
              <w:t>415</w:t>
            </w:r>
          </w:p>
        </w:tc>
        <w:tc>
          <w:tcPr>
            <w:tcW w:w="1000" w:type="pct"/>
          </w:tcPr>
          <w:p w14:paraId="51DCAFED" w14:textId="77777777" w:rsidR="00D17EDF" w:rsidRPr="00F02686" w:rsidRDefault="00D17EDF" w:rsidP="00873B4E">
            <w:pPr>
              <w:jc w:val="center"/>
            </w:pPr>
            <w:r>
              <w:rPr>
                <w:rFonts w:ascii="Calibri" w:hAnsi="Calibri" w:cs="Calibri"/>
                <w:color w:val="000000"/>
                <w:sz w:val="22"/>
                <w:szCs w:val="22"/>
              </w:rPr>
              <w:t>153</w:t>
            </w:r>
          </w:p>
        </w:tc>
        <w:tc>
          <w:tcPr>
            <w:tcW w:w="1000" w:type="pct"/>
          </w:tcPr>
          <w:p w14:paraId="1A55F1C3" w14:textId="77777777" w:rsidR="00D17EDF" w:rsidRPr="00F02686" w:rsidRDefault="00D17EDF" w:rsidP="00873B4E">
            <w:pPr>
              <w:jc w:val="center"/>
            </w:pPr>
            <w:r w:rsidRPr="00F02686">
              <w:t>$75,968,960</w:t>
            </w:r>
          </w:p>
        </w:tc>
        <w:tc>
          <w:tcPr>
            <w:tcW w:w="1000" w:type="pct"/>
          </w:tcPr>
          <w:p w14:paraId="6E28976F" w14:textId="77777777" w:rsidR="00D17EDF" w:rsidRPr="00F02686" w:rsidRDefault="00D17EDF" w:rsidP="00873B4E">
            <w:pPr>
              <w:jc w:val="center"/>
            </w:pPr>
            <w:r w:rsidRPr="00454F2C">
              <w:t xml:space="preserve"> $28,525,711 </w:t>
            </w:r>
          </w:p>
        </w:tc>
      </w:tr>
      <w:tr w:rsidR="00D17EDF" w:rsidRPr="00F02686" w14:paraId="67684B8B" w14:textId="77777777" w:rsidTr="00873B4E">
        <w:trPr>
          <w:trHeight w:val="296"/>
          <w:jc w:val="center"/>
        </w:trPr>
        <w:tc>
          <w:tcPr>
            <w:tcW w:w="1000" w:type="pct"/>
          </w:tcPr>
          <w:p w14:paraId="782DE284" w14:textId="77777777" w:rsidR="00D17EDF" w:rsidRPr="00F02686" w:rsidRDefault="00D17EDF" w:rsidP="00873B4E">
            <w:pPr>
              <w:jc w:val="center"/>
            </w:pPr>
            <w:r w:rsidRPr="00F02686">
              <w:t>2019</w:t>
            </w:r>
          </w:p>
        </w:tc>
        <w:tc>
          <w:tcPr>
            <w:tcW w:w="1000" w:type="pct"/>
          </w:tcPr>
          <w:p w14:paraId="1357D3B3" w14:textId="77777777" w:rsidR="00D17EDF" w:rsidRPr="00F02686" w:rsidRDefault="00D17EDF" w:rsidP="00873B4E">
            <w:pPr>
              <w:jc w:val="center"/>
            </w:pPr>
            <w:r>
              <w:rPr>
                <w:rFonts w:ascii="Calibri" w:hAnsi="Calibri" w:cs="Calibri"/>
                <w:color w:val="000000"/>
                <w:sz w:val="22"/>
                <w:szCs w:val="22"/>
              </w:rPr>
              <w:t>415</w:t>
            </w:r>
          </w:p>
        </w:tc>
        <w:tc>
          <w:tcPr>
            <w:tcW w:w="1000" w:type="pct"/>
          </w:tcPr>
          <w:p w14:paraId="2B612350" w14:textId="77777777" w:rsidR="00D17EDF" w:rsidRPr="00F02686" w:rsidRDefault="00D17EDF" w:rsidP="00873B4E">
            <w:pPr>
              <w:jc w:val="center"/>
            </w:pPr>
            <w:r>
              <w:rPr>
                <w:rFonts w:ascii="Calibri" w:hAnsi="Calibri" w:cs="Calibri"/>
                <w:color w:val="000000"/>
                <w:sz w:val="22"/>
                <w:szCs w:val="22"/>
              </w:rPr>
              <w:t>153</w:t>
            </w:r>
          </w:p>
        </w:tc>
        <w:tc>
          <w:tcPr>
            <w:tcW w:w="1000" w:type="pct"/>
          </w:tcPr>
          <w:p w14:paraId="48949120" w14:textId="77777777" w:rsidR="00D17EDF" w:rsidRPr="00F02686" w:rsidRDefault="00D17EDF" w:rsidP="00873B4E">
            <w:pPr>
              <w:jc w:val="center"/>
            </w:pPr>
            <w:r w:rsidRPr="00F02686">
              <w:t>$77,346,249</w:t>
            </w:r>
          </w:p>
        </w:tc>
        <w:tc>
          <w:tcPr>
            <w:tcW w:w="1000" w:type="pct"/>
          </w:tcPr>
          <w:p w14:paraId="06904308" w14:textId="77777777" w:rsidR="00D17EDF" w:rsidRPr="00F02686" w:rsidRDefault="00D17EDF" w:rsidP="00873B4E">
            <w:pPr>
              <w:jc w:val="center"/>
            </w:pPr>
            <w:r w:rsidRPr="00454F2C">
              <w:t xml:space="preserve"> $28,525,711 </w:t>
            </w:r>
          </w:p>
        </w:tc>
      </w:tr>
    </w:tbl>
    <w:p w14:paraId="2726F1D5" w14:textId="77777777" w:rsidR="00D17EDF" w:rsidRPr="00F02686" w:rsidRDefault="00D17EDF" w:rsidP="00D17EDF">
      <w:r w:rsidRPr="00F02686">
        <w:t>Source: Dragas Center for Economic Analysis and Policy (2020). Estimates are in nominal dollars and are based on assumptions regarding ZIM Shipping’s employment and sales bases on averages provided by ZIM Shipping. Estimates include employment</w:t>
      </w:r>
      <w:r>
        <w:t xml:space="preserve"> and spending</w:t>
      </w:r>
      <w:r w:rsidRPr="00F02686">
        <w:t xml:space="preserve"> impa</w:t>
      </w:r>
      <w:r>
        <w:t>cts</w:t>
      </w:r>
      <w:r w:rsidRPr="00F02686">
        <w:t xml:space="preserve">. Estimates include direct, indirect, and induced impacts and assume that the multipliers are constant for the period of analysis. </w:t>
      </w:r>
    </w:p>
    <w:p w14:paraId="1C184628" w14:textId="77777777" w:rsidR="00D17EDF" w:rsidRPr="00F02686" w:rsidRDefault="00D17EDF" w:rsidP="00D17EDF">
      <w:pPr>
        <w:spacing w:line="480" w:lineRule="auto"/>
        <w:rPr>
          <w:b/>
          <w:bCs/>
        </w:rPr>
      </w:pPr>
    </w:p>
    <w:p w14:paraId="6A4834D6" w14:textId="77777777" w:rsidR="00D17EDF" w:rsidRPr="00DA1BFC" w:rsidRDefault="00D17EDF" w:rsidP="00D17EDF">
      <w:pPr>
        <w:spacing w:line="480" w:lineRule="auto"/>
        <w:ind w:firstLine="720"/>
        <w:jc w:val="both"/>
      </w:pPr>
    </w:p>
    <w:p w14:paraId="031A944F" w14:textId="77777777" w:rsidR="00F02686" w:rsidRPr="00F02686" w:rsidRDefault="00F02686" w:rsidP="00F02686">
      <w:pPr>
        <w:spacing w:line="480" w:lineRule="auto"/>
        <w:rPr>
          <w:color w:val="FF0000"/>
        </w:rPr>
      </w:pPr>
    </w:p>
    <w:p w14:paraId="64CC5CE0" w14:textId="77777777" w:rsidR="00D17EDF" w:rsidRDefault="00D17EDF">
      <w:pPr>
        <w:rPr>
          <w:b/>
          <w:bCs/>
        </w:rPr>
      </w:pPr>
      <w:r>
        <w:rPr>
          <w:b/>
          <w:bCs/>
        </w:rPr>
        <w:br w:type="page"/>
      </w:r>
    </w:p>
    <w:p w14:paraId="2DB83C45" w14:textId="3D399315" w:rsidR="00F02686" w:rsidRPr="00F02686" w:rsidRDefault="00F02686" w:rsidP="00C43433">
      <w:pPr>
        <w:jc w:val="center"/>
        <w:rPr>
          <w:b/>
          <w:bCs/>
        </w:rPr>
      </w:pPr>
      <w:r w:rsidRPr="00F02686">
        <w:rPr>
          <w:b/>
          <w:bCs/>
        </w:rPr>
        <w:lastRenderedPageBreak/>
        <w:t>Figure 1</w:t>
      </w:r>
    </w:p>
    <w:p w14:paraId="0FECE4EF" w14:textId="02C5A3AD" w:rsidR="00F02686" w:rsidRPr="00F02686" w:rsidRDefault="00F02686" w:rsidP="00C43433">
      <w:pPr>
        <w:jc w:val="center"/>
        <w:rPr>
          <w:b/>
          <w:bCs/>
        </w:rPr>
      </w:pPr>
      <w:r w:rsidRPr="00F02686">
        <w:rPr>
          <w:b/>
          <w:bCs/>
        </w:rPr>
        <w:t xml:space="preserve">Estimated Impact on </w:t>
      </w:r>
      <w:r w:rsidR="00697853">
        <w:rPr>
          <w:b/>
          <w:bCs/>
        </w:rPr>
        <w:t>Gross</w:t>
      </w:r>
      <w:r w:rsidRPr="00F02686">
        <w:rPr>
          <w:b/>
          <w:bCs/>
        </w:rPr>
        <w:t xml:space="preserve"> Output</w:t>
      </w:r>
    </w:p>
    <w:p w14:paraId="0E176258" w14:textId="77777777" w:rsidR="00F02686" w:rsidRPr="00F02686" w:rsidRDefault="00F02686" w:rsidP="00C43433">
      <w:pPr>
        <w:jc w:val="center"/>
        <w:rPr>
          <w:b/>
          <w:bCs/>
        </w:rPr>
      </w:pPr>
      <w:r w:rsidRPr="00F02686">
        <w:rPr>
          <w:b/>
          <w:bCs/>
        </w:rPr>
        <w:t>ZIM Shipping’s Operations in the Commonwealth of Virginia</w:t>
      </w:r>
    </w:p>
    <w:p w14:paraId="32248251" w14:textId="77777777" w:rsidR="00F02686" w:rsidRPr="00F02686" w:rsidRDefault="00F02686" w:rsidP="00C43433">
      <w:pPr>
        <w:jc w:val="center"/>
        <w:rPr>
          <w:b/>
          <w:bCs/>
        </w:rPr>
      </w:pPr>
      <w:r w:rsidRPr="00F02686">
        <w:rPr>
          <w:b/>
          <w:bCs/>
        </w:rPr>
        <w:t>Millions of Nominal Dollars</w:t>
      </w:r>
    </w:p>
    <w:p w14:paraId="3DA827AE" w14:textId="5619C8FC" w:rsidR="00F02686" w:rsidRDefault="00F02686" w:rsidP="00C43433">
      <w:pPr>
        <w:jc w:val="center"/>
        <w:rPr>
          <w:b/>
          <w:bCs/>
        </w:rPr>
      </w:pPr>
      <w:r w:rsidRPr="00F02686">
        <w:rPr>
          <w:b/>
          <w:bCs/>
        </w:rPr>
        <w:t xml:space="preserve">2009 – 2019 </w:t>
      </w:r>
    </w:p>
    <w:p w14:paraId="364055F2" w14:textId="77777777" w:rsidR="00C43433" w:rsidRPr="00F02686" w:rsidRDefault="00C43433" w:rsidP="00C43433">
      <w:pPr>
        <w:jc w:val="center"/>
        <w:rPr>
          <w:b/>
          <w:bCs/>
        </w:rPr>
      </w:pPr>
    </w:p>
    <w:p w14:paraId="77071846" w14:textId="77777777" w:rsidR="00F02686" w:rsidRPr="00F02686" w:rsidRDefault="00F02686" w:rsidP="00F02686">
      <w:pPr>
        <w:spacing w:line="480" w:lineRule="auto"/>
        <w:jc w:val="center"/>
        <w:rPr>
          <w:color w:val="FF0000"/>
        </w:rPr>
      </w:pPr>
      <w:r w:rsidRPr="00F02686">
        <w:rPr>
          <w:noProof/>
          <w:color w:val="FF0000"/>
        </w:rPr>
        <w:drawing>
          <wp:inline distT="0" distB="0" distL="0" distR="0" wp14:anchorId="2CEC2D0B" wp14:editId="6A1DB4A2">
            <wp:extent cx="5486400" cy="32004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3B1C01" w14:textId="115C3DD6" w:rsidR="00F02686" w:rsidRPr="00F02686" w:rsidRDefault="00F02686" w:rsidP="00F02686">
      <w:r w:rsidRPr="00F02686">
        <w:t>Source: Dragas Center for Economic Analysis and Policy (2020) and Bureau of Economic Analysis (20</w:t>
      </w:r>
      <w:r w:rsidR="00C43433">
        <w:t>20</w:t>
      </w:r>
      <w:r w:rsidRPr="00F02686">
        <w:t>). The estimates represent the contribution</w:t>
      </w:r>
      <w:r w:rsidR="003107F2">
        <w:t>s</w:t>
      </w:r>
      <w:r w:rsidRPr="00F02686">
        <w:t xml:space="preserve"> of employment</w:t>
      </w:r>
      <w:r w:rsidR="003107F2">
        <w:t xml:space="preserve"> and spending</w:t>
      </w:r>
      <w:r w:rsidRPr="00F02686">
        <w:t xml:space="preserve"> to </w:t>
      </w:r>
      <w:r w:rsidR="00697853">
        <w:t>gross</w:t>
      </w:r>
      <w:r w:rsidRPr="00F02686">
        <w:t xml:space="preserve"> output in the Commonwealth of Virginia for each year. The estimates assume that the multipliers for employment are constant for the period. Data on average employment </w:t>
      </w:r>
      <w:r w:rsidR="003107F2">
        <w:t xml:space="preserve">and </w:t>
      </w:r>
      <w:r w:rsidR="00C43433">
        <w:t xml:space="preserve">average </w:t>
      </w:r>
      <w:r w:rsidR="003107F2">
        <w:t xml:space="preserve">spending </w:t>
      </w:r>
      <w:r w:rsidRPr="00F02686">
        <w:t>obtained from ZIM Shipping.</w:t>
      </w:r>
      <w:r w:rsidR="007E7254">
        <w:t xml:space="preserve"> </w:t>
      </w:r>
    </w:p>
    <w:p w14:paraId="2E798195" w14:textId="77777777" w:rsidR="007E7254" w:rsidRDefault="007E7254" w:rsidP="00F02686">
      <w:pPr>
        <w:spacing w:line="480" w:lineRule="auto"/>
        <w:jc w:val="center"/>
        <w:rPr>
          <w:b/>
          <w:bCs/>
        </w:rPr>
      </w:pPr>
    </w:p>
    <w:p w14:paraId="2175D0C0" w14:textId="77777777" w:rsidR="007E7254" w:rsidRDefault="007E7254" w:rsidP="00C43433">
      <w:pPr>
        <w:spacing w:line="480" w:lineRule="auto"/>
        <w:rPr>
          <w:b/>
          <w:bCs/>
        </w:rPr>
      </w:pPr>
    </w:p>
    <w:p w14:paraId="04AE45D5" w14:textId="411A1A75" w:rsidR="00F02686" w:rsidRPr="00F02686" w:rsidRDefault="00F02686" w:rsidP="00C43433">
      <w:pPr>
        <w:jc w:val="center"/>
        <w:rPr>
          <w:b/>
          <w:bCs/>
        </w:rPr>
      </w:pPr>
      <w:r w:rsidRPr="00F02686">
        <w:rPr>
          <w:b/>
          <w:bCs/>
        </w:rPr>
        <w:lastRenderedPageBreak/>
        <w:t>Figure 2</w:t>
      </w:r>
    </w:p>
    <w:p w14:paraId="2CB9AC56" w14:textId="4540CB2F" w:rsidR="00F02686" w:rsidRPr="00F02686" w:rsidRDefault="00F02686" w:rsidP="00C43433">
      <w:pPr>
        <w:jc w:val="center"/>
        <w:rPr>
          <w:b/>
          <w:bCs/>
        </w:rPr>
      </w:pPr>
      <w:r w:rsidRPr="00F02686">
        <w:rPr>
          <w:b/>
          <w:bCs/>
        </w:rPr>
        <w:t xml:space="preserve">Cumulative Impact on </w:t>
      </w:r>
      <w:r w:rsidR="00697853">
        <w:rPr>
          <w:b/>
          <w:bCs/>
        </w:rPr>
        <w:t>Gross</w:t>
      </w:r>
      <w:r w:rsidRPr="00F02686">
        <w:rPr>
          <w:b/>
          <w:bCs/>
        </w:rPr>
        <w:t xml:space="preserve"> Output</w:t>
      </w:r>
    </w:p>
    <w:p w14:paraId="6A151C4E" w14:textId="77777777" w:rsidR="00F02686" w:rsidRPr="00F02686" w:rsidRDefault="00F02686" w:rsidP="00C43433">
      <w:pPr>
        <w:jc w:val="center"/>
        <w:rPr>
          <w:b/>
          <w:bCs/>
        </w:rPr>
      </w:pPr>
      <w:r w:rsidRPr="00F02686">
        <w:rPr>
          <w:b/>
          <w:bCs/>
        </w:rPr>
        <w:t>ZIM Shipping’s Operations in the Commonwealth of Virginia</w:t>
      </w:r>
    </w:p>
    <w:p w14:paraId="46EBDDF6" w14:textId="77777777" w:rsidR="00F02686" w:rsidRPr="00F02686" w:rsidRDefault="00F02686" w:rsidP="00C43433">
      <w:pPr>
        <w:jc w:val="center"/>
        <w:rPr>
          <w:b/>
          <w:bCs/>
        </w:rPr>
      </w:pPr>
      <w:proofErr w:type="gramStart"/>
      <w:r w:rsidRPr="00F02686">
        <w:rPr>
          <w:b/>
          <w:bCs/>
        </w:rPr>
        <w:t>Millions</w:t>
      </w:r>
      <w:proofErr w:type="gramEnd"/>
      <w:r w:rsidRPr="00F02686">
        <w:rPr>
          <w:b/>
          <w:bCs/>
        </w:rPr>
        <w:t xml:space="preserve"> of 2019 Dollars</w:t>
      </w:r>
    </w:p>
    <w:p w14:paraId="61AF0959" w14:textId="0D9A24BE" w:rsidR="00F02686" w:rsidRDefault="00F02686" w:rsidP="00C43433">
      <w:pPr>
        <w:jc w:val="center"/>
        <w:rPr>
          <w:b/>
          <w:bCs/>
        </w:rPr>
      </w:pPr>
      <w:r w:rsidRPr="00F02686">
        <w:rPr>
          <w:b/>
          <w:bCs/>
        </w:rPr>
        <w:t>2009 – 2019</w:t>
      </w:r>
    </w:p>
    <w:p w14:paraId="6D803A0E" w14:textId="77777777" w:rsidR="00C43433" w:rsidRPr="00F02686" w:rsidRDefault="00C43433" w:rsidP="00C43433">
      <w:pPr>
        <w:jc w:val="center"/>
        <w:rPr>
          <w:b/>
          <w:bCs/>
        </w:rPr>
      </w:pPr>
    </w:p>
    <w:p w14:paraId="13067327" w14:textId="77777777" w:rsidR="00F02686" w:rsidRPr="00F02686" w:rsidRDefault="00F02686" w:rsidP="00F02686">
      <w:pPr>
        <w:spacing w:line="480" w:lineRule="auto"/>
        <w:jc w:val="center"/>
        <w:rPr>
          <w:b/>
          <w:bCs/>
        </w:rPr>
      </w:pPr>
      <w:r w:rsidRPr="00F02686">
        <w:rPr>
          <w:b/>
          <w:bCs/>
          <w:noProof/>
        </w:rPr>
        <w:drawing>
          <wp:inline distT="0" distB="0" distL="0" distR="0" wp14:anchorId="490528AB" wp14:editId="3C379E3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7C4E25" w14:textId="0AD46E75" w:rsidR="00F02686" w:rsidRPr="00F02686" w:rsidRDefault="00F02686" w:rsidP="00F02686">
      <w:r w:rsidRPr="00F02686">
        <w:t xml:space="preserve">Source: Dragas Center for Economic Analysis and Policy (2020) and Bureau of Economic Analysis (2019). The estimates represent the contribution of employment </w:t>
      </w:r>
      <w:r w:rsidR="00C43433">
        <w:t xml:space="preserve">and spending </w:t>
      </w:r>
      <w:r w:rsidRPr="00F02686">
        <w:t xml:space="preserve">to </w:t>
      </w:r>
      <w:r w:rsidR="00697853">
        <w:t>gross</w:t>
      </w:r>
      <w:r w:rsidRPr="00F02686">
        <w:t xml:space="preserve"> output in the Commonwealth of Virginia for each year. The estimates assume that the multipliers for employment </w:t>
      </w:r>
      <w:r w:rsidR="00C43433">
        <w:t xml:space="preserve">and spending </w:t>
      </w:r>
      <w:r w:rsidRPr="00F02686">
        <w:t xml:space="preserve">are constant for the period. Data on average employment </w:t>
      </w:r>
      <w:r w:rsidR="003107F2">
        <w:t xml:space="preserve">and spending </w:t>
      </w:r>
      <w:r w:rsidRPr="00F02686">
        <w:t>obtained from ZIM Shipping.</w:t>
      </w:r>
      <w:r w:rsidR="00C43433">
        <w:t xml:space="preserve"> A discount rate of 2 percent is used to convert historic economic output to 2019 nominal values. Data on the average annual value of the Consumer Price Index (CPI) obtained from the Bureau of Labor Statistics.</w:t>
      </w:r>
    </w:p>
    <w:p w14:paraId="3A19CF18" w14:textId="77777777" w:rsidR="00C43433" w:rsidRDefault="00C43433" w:rsidP="00C43433">
      <w:pPr>
        <w:spacing w:line="480" w:lineRule="auto"/>
        <w:rPr>
          <w:b/>
          <w:bCs/>
        </w:rPr>
      </w:pPr>
    </w:p>
    <w:p w14:paraId="30CEDD60" w14:textId="620377DA" w:rsidR="00F02686" w:rsidRPr="00F02686" w:rsidRDefault="00F02686" w:rsidP="00C43433">
      <w:pPr>
        <w:jc w:val="center"/>
        <w:rPr>
          <w:b/>
          <w:bCs/>
        </w:rPr>
      </w:pPr>
      <w:r w:rsidRPr="00F02686">
        <w:rPr>
          <w:b/>
          <w:bCs/>
        </w:rPr>
        <w:lastRenderedPageBreak/>
        <w:t>Figure 3</w:t>
      </w:r>
    </w:p>
    <w:p w14:paraId="0B0F7023" w14:textId="77777777" w:rsidR="00F02686" w:rsidRPr="00F02686" w:rsidRDefault="00F02686" w:rsidP="00C43433">
      <w:pPr>
        <w:jc w:val="center"/>
        <w:rPr>
          <w:b/>
          <w:bCs/>
        </w:rPr>
      </w:pPr>
      <w:r w:rsidRPr="00F02686">
        <w:rPr>
          <w:b/>
          <w:bCs/>
        </w:rPr>
        <w:t>Estimated Annual Impact on Private Nonfarm Payrolls (Jobs)</w:t>
      </w:r>
    </w:p>
    <w:p w14:paraId="6A4DB465" w14:textId="77777777" w:rsidR="00F02686" w:rsidRPr="00F02686" w:rsidRDefault="00F02686" w:rsidP="00C43433">
      <w:pPr>
        <w:jc w:val="center"/>
        <w:rPr>
          <w:b/>
          <w:bCs/>
        </w:rPr>
      </w:pPr>
      <w:r w:rsidRPr="00F02686">
        <w:rPr>
          <w:b/>
          <w:bCs/>
        </w:rPr>
        <w:t>ZIM Shipping’s Operations in the Commonwealth of Virginia</w:t>
      </w:r>
    </w:p>
    <w:p w14:paraId="420E840C" w14:textId="5760DB74" w:rsidR="00F02686" w:rsidRDefault="00F02686" w:rsidP="00C43433">
      <w:pPr>
        <w:jc w:val="center"/>
        <w:rPr>
          <w:b/>
          <w:bCs/>
        </w:rPr>
      </w:pPr>
      <w:r w:rsidRPr="00F02686">
        <w:rPr>
          <w:b/>
          <w:bCs/>
        </w:rPr>
        <w:t>2009 – 2019</w:t>
      </w:r>
    </w:p>
    <w:p w14:paraId="39CFCE0D" w14:textId="77777777" w:rsidR="00C43433" w:rsidRPr="00F02686" w:rsidRDefault="00C43433" w:rsidP="00C43433">
      <w:pPr>
        <w:jc w:val="center"/>
        <w:rPr>
          <w:b/>
          <w:bCs/>
        </w:rPr>
      </w:pPr>
    </w:p>
    <w:p w14:paraId="41EC95C7" w14:textId="77777777" w:rsidR="00F02686" w:rsidRPr="00F02686" w:rsidRDefault="00F02686" w:rsidP="00F02686">
      <w:pPr>
        <w:jc w:val="center"/>
        <w:rPr>
          <w:b/>
          <w:bCs/>
        </w:rPr>
      </w:pPr>
      <w:r w:rsidRPr="00F02686">
        <w:rPr>
          <w:b/>
          <w:bCs/>
          <w:noProof/>
        </w:rPr>
        <w:drawing>
          <wp:inline distT="0" distB="0" distL="0" distR="0" wp14:anchorId="2C11B0E2" wp14:editId="1A45BEF6">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F02686">
        <w:rPr>
          <w:b/>
          <w:bCs/>
        </w:rPr>
        <w:br/>
      </w:r>
    </w:p>
    <w:p w14:paraId="171C54F2" w14:textId="62EE98D4" w:rsidR="00D17EDF" w:rsidRDefault="00F02686" w:rsidP="00117B8A">
      <w:pPr>
        <w:jc w:val="both"/>
        <w:rPr>
          <w:b/>
          <w:bCs/>
        </w:rPr>
      </w:pPr>
      <w:r w:rsidRPr="00F02686">
        <w:t xml:space="preserve">Source: Dragas Center for Economic Analysis and Policy (2019). </w:t>
      </w:r>
      <w:r w:rsidR="00EC4606" w:rsidRPr="00F02686">
        <w:t xml:space="preserve">The estimates represent the contribution of employment </w:t>
      </w:r>
      <w:r w:rsidR="00EC4606">
        <w:t xml:space="preserve">and spending </w:t>
      </w:r>
      <w:r w:rsidR="00EC4606" w:rsidRPr="00F02686">
        <w:t xml:space="preserve">to </w:t>
      </w:r>
      <w:r w:rsidR="00EC4606">
        <w:t>gross</w:t>
      </w:r>
      <w:r w:rsidR="00EC4606" w:rsidRPr="00F02686">
        <w:t xml:space="preserve"> output in the Commonwealth of Virginia for each year. The estimates assume that the multipliers for employment </w:t>
      </w:r>
      <w:r w:rsidR="00EC4606">
        <w:t xml:space="preserve">and spending </w:t>
      </w:r>
      <w:r w:rsidR="00EC4606" w:rsidRPr="00F02686">
        <w:t xml:space="preserve">are constant for the period. Data on average employment </w:t>
      </w:r>
      <w:r w:rsidR="00EC4606">
        <w:t xml:space="preserve">and spending </w:t>
      </w:r>
      <w:r w:rsidR="00EC4606" w:rsidRPr="00F02686">
        <w:t>obtained from ZIM Shipping.</w:t>
      </w:r>
      <w:r w:rsidR="00EC4606">
        <w:t xml:space="preserve"> A discount rate of 2 percent is used to convert historic economic output to 2019 nominal values. Data on the average annual value of the Consumer Price Index (CPI) obtained from the Bureau of Labor Statistic</w:t>
      </w:r>
    </w:p>
    <w:sectPr w:rsidR="00D17EDF" w:rsidSect="00095FA5">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1A879" w14:textId="77777777" w:rsidR="00A34032" w:rsidRDefault="00A34032" w:rsidP="00B97F4E">
      <w:r>
        <w:separator/>
      </w:r>
    </w:p>
  </w:endnote>
  <w:endnote w:type="continuationSeparator" w:id="0">
    <w:p w14:paraId="34C6EDBD" w14:textId="77777777" w:rsidR="00A34032" w:rsidRDefault="00A34032" w:rsidP="00B9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1545286"/>
      <w:docPartObj>
        <w:docPartGallery w:val="Page Numbers (Bottom of Page)"/>
        <w:docPartUnique/>
      </w:docPartObj>
    </w:sdtPr>
    <w:sdtEndPr>
      <w:rPr>
        <w:rStyle w:val="PageNumber"/>
      </w:rPr>
    </w:sdtEndPr>
    <w:sdtContent>
      <w:p w14:paraId="77930570" w14:textId="77777777" w:rsidR="00095FA5" w:rsidRDefault="00095FA5" w:rsidP="00095F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448416" w14:textId="77777777" w:rsidR="00095FA5" w:rsidRDefault="00095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2507920"/>
      <w:docPartObj>
        <w:docPartGallery w:val="Page Numbers (Bottom of Page)"/>
        <w:docPartUnique/>
      </w:docPartObj>
    </w:sdtPr>
    <w:sdtEndPr>
      <w:rPr>
        <w:rStyle w:val="PageNumber"/>
      </w:rPr>
    </w:sdtEndPr>
    <w:sdtContent>
      <w:p w14:paraId="6A6056B4" w14:textId="77777777" w:rsidR="00095FA5" w:rsidRDefault="00095FA5" w:rsidP="00095F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EB320D" w14:textId="77777777" w:rsidR="00095FA5" w:rsidRDefault="0009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387A9" w14:textId="77777777" w:rsidR="00A34032" w:rsidRDefault="00A34032" w:rsidP="00B97F4E">
      <w:r>
        <w:separator/>
      </w:r>
    </w:p>
  </w:footnote>
  <w:footnote w:type="continuationSeparator" w:id="0">
    <w:p w14:paraId="35287878" w14:textId="77777777" w:rsidR="00A34032" w:rsidRDefault="00A34032" w:rsidP="00B97F4E">
      <w:r>
        <w:continuationSeparator/>
      </w:r>
    </w:p>
  </w:footnote>
  <w:footnote w:id="1">
    <w:p w14:paraId="6971BCD1" w14:textId="35126CE7" w:rsidR="00B96072" w:rsidRDefault="00B96072">
      <w:pPr>
        <w:pStyle w:val="FootnoteText"/>
      </w:pPr>
      <w:r>
        <w:rPr>
          <w:rStyle w:val="FootnoteReference"/>
        </w:rPr>
        <w:footnoteRef/>
      </w:r>
      <w:r>
        <w:t xml:space="preserve"> </w:t>
      </w:r>
      <w:r w:rsidR="00697853">
        <w:t>The Bureau of Economic Analysis defines g</w:t>
      </w:r>
      <w:r>
        <w:t>ross output</w:t>
      </w:r>
      <w:r w:rsidR="00697853">
        <w:t xml:space="preserve"> as “</w:t>
      </w:r>
      <w:r>
        <w:t>a measure of an industry's sales or receipts, which can include sales to final users in the economy (GDP) or sales to other industries (intermediate inputs). Gross output can also be measured as the sum of an industry's value added and intermediate inputs.</w:t>
      </w:r>
      <w:r w:rsidR="00697853">
        <w:t>”</w:t>
      </w:r>
    </w:p>
  </w:footnote>
  <w:footnote w:id="2">
    <w:p w14:paraId="79EF6AA8" w14:textId="77777777" w:rsidR="00095FA5" w:rsidRDefault="00095FA5">
      <w:pPr>
        <w:pStyle w:val="FootnoteText"/>
      </w:pPr>
      <w:r>
        <w:rPr>
          <w:rStyle w:val="FootnoteReference"/>
        </w:rPr>
        <w:footnoteRef/>
      </w:r>
      <w:r>
        <w:t xml:space="preserve"> </w:t>
      </w:r>
      <w:r w:rsidRPr="007032F8">
        <w:t>https://www.logisticsglossary.com/term/teu/</w:t>
      </w:r>
    </w:p>
  </w:footnote>
  <w:footnote w:id="3">
    <w:p w14:paraId="70DBA890" w14:textId="77777777" w:rsidR="00095FA5" w:rsidRDefault="00095FA5">
      <w:pPr>
        <w:pStyle w:val="FootnoteText"/>
      </w:pPr>
      <w:r>
        <w:rPr>
          <w:rStyle w:val="FootnoteReference"/>
        </w:rPr>
        <w:footnoteRef/>
      </w:r>
      <w:r>
        <w:t xml:space="preserve"> </w:t>
      </w:r>
      <w:r w:rsidRPr="00427870">
        <w:t>https://www.portofantwerp.com/en/types-goods</w:t>
      </w:r>
    </w:p>
  </w:footnote>
  <w:footnote w:id="4">
    <w:p w14:paraId="35DE8E21" w14:textId="77777777" w:rsidR="00095FA5" w:rsidRDefault="00095FA5" w:rsidP="00D861D9">
      <w:pPr>
        <w:pStyle w:val="FootnoteText"/>
      </w:pPr>
      <w:r>
        <w:rPr>
          <w:rStyle w:val="FootnoteReference"/>
        </w:rPr>
        <w:footnoteRef/>
      </w:r>
      <w:r>
        <w:t xml:space="preserve"> </w:t>
      </w:r>
      <w:r w:rsidRPr="005D6B78">
        <w:t>https://www.marketwatch.com/press-release/shipping-container-market-2019-share-trends-segmentation-and-forecast-by-2025-2019-08-01</w:t>
      </w:r>
    </w:p>
  </w:footnote>
  <w:footnote w:id="5">
    <w:p w14:paraId="73A3AD23" w14:textId="77777777" w:rsidR="00095FA5" w:rsidRDefault="00095FA5">
      <w:pPr>
        <w:pStyle w:val="FootnoteText"/>
      </w:pPr>
      <w:r>
        <w:rPr>
          <w:rStyle w:val="FootnoteReference"/>
        </w:rPr>
        <w:footnoteRef/>
      </w:r>
      <w:r>
        <w:t xml:space="preserve"> </w:t>
      </w:r>
      <w:r w:rsidRPr="0088424E">
        <w:t>https://www.zim.com/about-zim/company-overview</w:t>
      </w:r>
    </w:p>
  </w:footnote>
  <w:footnote w:id="6">
    <w:p w14:paraId="6935FBD1" w14:textId="77777777" w:rsidR="00095FA5" w:rsidRDefault="00095FA5">
      <w:pPr>
        <w:pStyle w:val="FootnoteText"/>
      </w:pPr>
      <w:r>
        <w:rPr>
          <w:rStyle w:val="FootnoteReference"/>
        </w:rPr>
        <w:footnoteRef/>
      </w:r>
      <w:r>
        <w:t xml:space="preserve"> </w:t>
      </w:r>
      <w:r w:rsidRPr="009F16FB">
        <w:t>https://www.zim.com/about-zim/facts-figures</w:t>
      </w:r>
    </w:p>
  </w:footnote>
  <w:footnote w:id="7">
    <w:p w14:paraId="570A748A" w14:textId="77777777" w:rsidR="00095FA5" w:rsidRDefault="00095FA5">
      <w:pPr>
        <w:pStyle w:val="FootnoteText"/>
      </w:pPr>
      <w:r>
        <w:rPr>
          <w:rStyle w:val="FootnoteReference"/>
        </w:rPr>
        <w:footnoteRef/>
      </w:r>
      <w:r>
        <w:t xml:space="preserve"> Dragas Center Survey Questionnaire</w:t>
      </w:r>
    </w:p>
  </w:footnote>
  <w:footnote w:id="8">
    <w:p w14:paraId="3FA899AB" w14:textId="77777777" w:rsidR="00A43DCA" w:rsidRDefault="00A43DCA" w:rsidP="00A43DCA">
      <w:pPr>
        <w:pStyle w:val="FootnoteText"/>
      </w:pPr>
      <w:r>
        <w:rPr>
          <w:rStyle w:val="FootnoteReference"/>
        </w:rPr>
        <w:footnoteRef/>
      </w:r>
      <w:r>
        <w:t xml:space="preserve"> Dragas Center Survey Questionnaire </w:t>
      </w:r>
    </w:p>
  </w:footnote>
  <w:footnote w:id="9">
    <w:p w14:paraId="0CD2CF28" w14:textId="77777777" w:rsidR="00095FA5" w:rsidRDefault="00095FA5">
      <w:pPr>
        <w:pStyle w:val="FootnoteText"/>
      </w:pPr>
      <w:r>
        <w:rPr>
          <w:rStyle w:val="FootnoteReference"/>
        </w:rPr>
        <w:footnoteRef/>
      </w:r>
      <w:r>
        <w:t xml:space="preserve"> Bureau of Labor Statistics, Quarterly Census of Employment and Wages</w:t>
      </w:r>
    </w:p>
  </w:footnote>
  <w:footnote w:id="10">
    <w:p w14:paraId="0CA7DE6C" w14:textId="32D1B8F0" w:rsidR="00095FA5" w:rsidRDefault="00095FA5">
      <w:pPr>
        <w:pStyle w:val="FootnoteText"/>
      </w:pPr>
      <w:r>
        <w:rPr>
          <w:rStyle w:val="FootnoteReference"/>
        </w:rPr>
        <w:footnoteRef/>
      </w:r>
      <w:r>
        <w:t xml:space="preserve">  </w:t>
      </w:r>
      <w:r w:rsidRPr="00ED09C7">
        <w:t>https://www.yesvirginiabeach.com/Business-Environment/transportation/Pages/The-Port-of-Virginia.aspx</w:t>
      </w:r>
    </w:p>
  </w:footnote>
  <w:footnote w:id="11">
    <w:p w14:paraId="6F8B4611" w14:textId="27023C36" w:rsidR="00095FA5" w:rsidRDefault="00095FA5">
      <w:pPr>
        <w:pStyle w:val="FootnoteText"/>
      </w:pPr>
      <w:r>
        <w:rPr>
          <w:rStyle w:val="FootnoteReference"/>
        </w:rPr>
        <w:footnoteRef/>
      </w:r>
      <w:r>
        <w:t xml:space="preserve"> </w:t>
      </w:r>
      <w:r w:rsidRPr="00B825DA">
        <w:t xml:space="preserve">  https://www.governor.virginia.gov/media/governorvirginiagov/secretary-of-commerce-and-trade/pdf/An-International-Trade-Strategic-Plan-for-the-Commonwealth-of-Virginia.pdf</w:t>
      </w:r>
    </w:p>
  </w:footnote>
  <w:footnote w:id="12">
    <w:p w14:paraId="759E8837" w14:textId="36F45FE8" w:rsidR="00095FA5" w:rsidRDefault="00095FA5">
      <w:pPr>
        <w:pStyle w:val="FootnoteText"/>
      </w:pPr>
      <w:r>
        <w:rPr>
          <w:rStyle w:val="FootnoteReference"/>
        </w:rPr>
        <w:footnoteRef/>
      </w:r>
      <w:r>
        <w:t xml:space="preserve"> Bureau of Labor Statistics, Quarterly Census of Employment and Wages</w:t>
      </w:r>
    </w:p>
  </w:footnote>
  <w:footnote w:id="13">
    <w:p w14:paraId="30096E1D" w14:textId="79DD426B" w:rsidR="0016246C" w:rsidRDefault="0016246C">
      <w:pPr>
        <w:pStyle w:val="FootnoteText"/>
      </w:pPr>
      <w:r>
        <w:rPr>
          <w:rStyle w:val="FootnoteReference"/>
        </w:rPr>
        <w:footnoteRef/>
      </w:r>
      <w:r>
        <w:t xml:space="preserve"> As an example, we take the nominal economic output for 2010 and convert the nominal value in 2019 by using the future value formula, where future value = present value * (1+discount </w:t>
      </w:r>
      <w:r>
        <w:t>rate)^number of periods.</w:t>
      </w:r>
    </w:p>
  </w:footnote>
  <w:footnote w:id="14">
    <w:p w14:paraId="6F5D689C" w14:textId="3004270E" w:rsidR="0016246C" w:rsidRDefault="0016246C">
      <w:pPr>
        <w:pStyle w:val="FootnoteText"/>
      </w:pPr>
      <w:r>
        <w:rPr>
          <w:rStyle w:val="FootnoteReference"/>
        </w:rPr>
        <w:footnoteRef/>
      </w:r>
      <w:r>
        <w:t xml:space="preserve"> </w:t>
      </w:r>
      <w:r w:rsidRPr="0016246C">
        <w:t>https://www.whitehouse.gov/wp-content/uploads/2019/12/discount-history.pdf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93"/>
    <w:rsid w:val="000029A7"/>
    <w:rsid w:val="00014BDF"/>
    <w:rsid w:val="00026A7D"/>
    <w:rsid w:val="00026E34"/>
    <w:rsid w:val="00032E11"/>
    <w:rsid w:val="00057C83"/>
    <w:rsid w:val="00062945"/>
    <w:rsid w:val="00065A44"/>
    <w:rsid w:val="00067C1A"/>
    <w:rsid w:val="00070F00"/>
    <w:rsid w:val="00075260"/>
    <w:rsid w:val="00081AB0"/>
    <w:rsid w:val="00084012"/>
    <w:rsid w:val="00095FA5"/>
    <w:rsid w:val="000965F0"/>
    <w:rsid w:val="000B0B3C"/>
    <w:rsid w:val="000B26EB"/>
    <w:rsid w:val="000D04A0"/>
    <w:rsid w:val="000E0F1E"/>
    <w:rsid w:val="000E71B6"/>
    <w:rsid w:val="00111857"/>
    <w:rsid w:val="00117B8A"/>
    <w:rsid w:val="00123F65"/>
    <w:rsid w:val="00127AB1"/>
    <w:rsid w:val="001472E5"/>
    <w:rsid w:val="001602D7"/>
    <w:rsid w:val="0016246C"/>
    <w:rsid w:val="0016488D"/>
    <w:rsid w:val="00183426"/>
    <w:rsid w:val="00187010"/>
    <w:rsid w:val="00187D82"/>
    <w:rsid w:val="00187DCA"/>
    <w:rsid w:val="001A3665"/>
    <w:rsid w:val="001A587E"/>
    <w:rsid w:val="001E0B34"/>
    <w:rsid w:val="001F1677"/>
    <w:rsid w:val="001F572E"/>
    <w:rsid w:val="00204AF9"/>
    <w:rsid w:val="00205754"/>
    <w:rsid w:val="00220DD0"/>
    <w:rsid w:val="002409FB"/>
    <w:rsid w:val="002479BB"/>
    <w:rsid w:val="00255140"/>
    <w:rsid w:val="0026357C"/>
    <w:rsid w:val="0028400F"/>
    <w:rsid w:val="0028799E"/>
    <w:rsid w:val="002A2FB9"/>
    <w:rsid w:val="002A6B25"/>
    <w:rsid w:val="002C4E10"/>
    <w:rsid w:val="002D78A3"/>
    <w:rsid w:val="002E0917"/>
    <w:rsid w:val="002E2D76"/>
    <w:rsid w:val="002F3E1C"/>
    <w:rsid w:val="002F5CD7"/>
    <w:rsid w:val="002F7683"/>
    <w:rsid w:val="003107F2"/>
    <w:rsid w:val="00317328"/>
    <w:rsid w:val="00330FBF"/>
    <w:rsid w:val="0033135F"/>
    <w:rsid w:val="003472CC"/>
    <w:rsid w:val="00355D84"/>
    <w:rsid w:val="00367369"/>
    <w:rsid w:val="00367F19"/>
    <w:rsid w:val="00381434"/>
    <w:rsid w:val="00381EA2"/>
    <w:rsid w:val="003B3818"/>
    <w:rsid w:val="003C5ACB"/>
    <w:rsid w:val="003D2A49"/>
    <w:rsid w:val="003E0413"/>
    <w:rsid w:val="003E422E"/>
    <w:rsid w:val="003F17DC"/>
    <w:rsid w:val="00402E77"/>
    <w:rsid w:val="004242DD"/>
    <w:rsid w:val="00427870"/>
    <w:rsid w:val="00430CD9"/>
    <w:rsid w:val="0043760C"/>
    <w:rsid w:val="00467081"/>
    <w:rsid w:val="00470567"/>
    <w:rsid w:val="00480276"/>
    <w:rsid w:val="004823CD"/>
    <w:rsid w:val="004B63F0"/>
    <w:rsid w:val="004B6FE3"/>
    <w:rsid w:val="004B736F"/>
    <w:rsid w:val="004C0B8C"/>
    <w:rsid w:val="004D65D5"/>
    <w:rsid w:val="004F1CC0"/>
    <w:rsid w:val="00505150"/>
    <w:rsid w:val="00506C96"/>
    <w:rsid w:val="00510391"/>
    <w:rsid w:val="00515449"/>
    <w:rsid w:val="005176E2"/>
    <w:rsid w:val="00586FD1"/>
    <w:rsid w:val="00593FF3"/>
    <w:rsid w:val="005A22BE"/>
    <w:rsid w:val="005B075A"/>
    <w:rsid w:val="005D4E7F"/>
    <w:rsid w:val="005D6B78"/>
    <w:rsid w:val="005D74DF"/>
    <w:rsid w:val="005D7594"/>
    <w:rsid w:val="005E3CC9"/>
    <w:rsid w:val="00603EC9"/>
    <w:rsid w:val="0061425C"/>
    <w:rsid w:val="00620E9F"/>
    <w:rsid w:val="00650036"/>
    <w:rsid w:val="00665E16"/>
    <w:rsid w:val="00677644"/>
    <w:rsid w:val="00684E06"/>
    <w:rsid w:val="006853B2"/>
    <w:rsid w:val="00690E09"/>
    <w:rsid w:val="006915F3"/>
    <w:rsid w:val="00695AB5"/>
    <w:rsid w:val="00696476"/>
    <w:rsid w:val="00696585"/>
    <w:rsid w:val="00697853"/>
    <w:rsid w:val="006A312F"/>
    <w:rsid w:val="006A5DF0"/>
    <w:rsid w:val="006A66D3"/>
    <w:rsid w:val="006A6CDF"/>
    <w:rsid w:val="006A7D8D"/>
    <w:rsid w:val="006C5637"/>
    <w:rsid w:val="006D5B1A"/>
    <w:rsid w:val="006F44A8"/>
    <w:rsid w:val="007032F8"/>
    <w:rsid w:val="00710358"/>
    <w:rsid w:val="007164A9"/>
    <w:rsid w:val="00725229"/>
    <w:rsid w:val="007C2BEF"/>
    <w:rsid w:val="007D6A32"/>
    <w:rsid w:val="007D7E87"/>
    <w:rsid w:val="007E7254"/>
    <w:rsid w:val="007F09BB"/>
    <w:rsid w:val="007F0CAC"/>
    <w:rsid w:val="00810A7E"/>
    <w:rsid w:val="0083794C"/>
    <w:rsid w:val="00837A6D"/>
    <w:rsid w:val="00865936"/>
    <w:rsid w:val="00877A5F"/>
    <w:rsid w:val="0088424E"/>
    <w:rsid w:val="00884902"/>
    <w:rsid w:val="00887EA3"/>
    <w:rsid w:val="0089108C"/>
    <w:rsid w:val="008A2230"/>
    <w:rsid w:val="008B3B8A"/>
    <w:rsid w:val="008C2F16"/>
    <w:rsid w:val="008D3076"/>
    <w:rsid w:val="008D6B00"/>
    <w:rsid w:val="008E295E"/>
    <w:rsid w:val="008E7BE8"/>
    <w:rsid w:val="00910B8E"/>
    <w:rsid w:val="009113CD"/>
    <w:rsid w:val="00916B50"/>
    <w:rsid w:val="00955B95"/>
    <w:rsid w:val="00956532"/>
    <w:rsid w:val="00960DC0"/>
    <w:rsid w:val="00975986"/>
    <w:rsid w:val="00985367"/>
    <w:rsid w:val="009A1F11"/>
    <w:rsid w:val="009A690C"/>
    <w:rsid w:val="009B613D"/>
    <w:rsid w:val="009C287C"/>
    <w:rsid w:val="009C480A"/>
    <w:rsid w:val="009E2FE1"/>
    <w:rsid w:val="009F16FB"/>
    <w:rsid w:val="00A0431E"/>
    <w:rsid w:val="00A13CDE"/>
    <w:rsid w:val="00A170A0"/>
    <w:rsid w:val="00A23908"/>
    <w:rsid w:val="00A33CE0"/>
    <w:rsid w:val="00A34032"/>
    <w:rsid w:val="00A4143C"/>
    <w:rsid w:val="00A43DCA"/>
    <w:rsid w:val="00A47AC7"/>
    <w:rsid w:val="00A7056F"/>
    <w:rsid w:val="00A811F3"/>
    <w:rsid w:val="00A97151"/>
    <w:rsid w:val="00A97688"/>
    <w:rsid w:val="00AB522C"/>
    <w:rsid w:val="00AB7429"/>
    <w:rsid w:val="00AC0BD5"/>
    <w:rsid w:val="00AD43D8"/>
    <w:rsid w:val="00AF1A51"/>
    <w:rsid w:val="00AF2093"/>
    <w:rsid w:val="00B10F98"/>
    <w:rsid w:val="00B15263"/>
    <w:rsid w:val="00B17A5B"/>
    <w:rsid w:val="00B2122F"/>
    <w:rsid w:val="00B31384"/>
    <w:rsid w:val="00B3659E"/>
    <w:rsid w:val="00B4306E"/>
    <w:rsid w:val="00B4321F"/>
    <w:rsid w:val="00B531A3"/>
    <w:rsid w:val="00B74A82"/>
    <w:rsid w:val="00B75285"/>
    <w:rsid w:val="00B80C1C"/>
    <w:rsid w:val="00B81EB9"/>
    <w:rsid w:val="00B825DA"/>
    <w:rsid w:val="00B84AF3"/>
    <w:rsid w:val="00B9214C"/>
    <w:rsid w:val="00B92293"/>
    <w:rsid w:val="00B96072"/>
    <w:rsid w:val="00B97F4E"/>
    <w:rsid w:val="00BA709F"/>
    <w:rsid w:val="00BC24BE"/>
    <w:rsid w:val="00BC2E68"/>
    <w:rsid w:val="00BD405B"/>
    <w:rsid w:val="00BE313A"/>
    <w:rsid w:val="00C0151B"/>
    <w:rsid w:val="00C02DB6"/>
    <w:rsid w:val="00C030D1"/>
    <w:rsid w:val="00C05D5A"/>
    <w:rsid w:val="00C06FCA"/>
    <w:rsid w:val="00C16CBC"/>
    <w:rsid w:val="00C23533"/>
    <w:rsid w:val="00C2417E"/>
    <w:rsid w:val="00C429E4"/>
    <w:rsid w:val="00C42E96"/>
    <w:rsid w:val="00C43433"/>
    <w:rsid w:val="00C611FF"/>
    <w:rsid w:val="00C70418"/>
    <w:rsid w:val="00C750A7"/>
    <w:rsid w:val="00C80B18"/>
    <w:rsid w:val="00C82FDA"/>
    <w:rsid w:val="00CA2CC5"/>
    <w:rsid w:val="00CD5293"/>
    <w:rsid w:val="00CE4ED5"/>
    <w:rsid w:val="00CF34AC"/>
    <w:rsid w:val="00CF7EF3"/>
    <w:rsid w:val="00D012E6"/>
    <w:rsid w:val="00D17EDF"/>
    <w:rsid w:val="00D27C92"/>
    <w:rsid w:val="00D31DA9"/>
    <w:rsid w:val="00D35ACE"/>
    <w:rsid w:val="00D42B5C"/>
    <w:rsid w:val="00D44072"/>
    <w:rsid w:val="00D671EE"/>
    <w:rsid w:val="00D70F1C"/>
    <w:rsid w:val="00D861D9"/>
    <w:rsid w:val="00D91770"/>
    <w:rsid w:val="00D93B49"/>
    <w:rsid w:val="00D96637"/>
    <w:rsid w:val="00DA1BFC"/>
    <w:rsid w:val="00DA6CE1"/>
    <w:rsid w:val="00DA7EAB"/>
    <w:rsid w:val="00DB1E63"/>
    <w:rsid w:val="00DB37D3"/>
    <w:rsid w:val="00DB6983"/>
    <w:rsid w:val="00DC0671"/>
    <w:rsid w:val="00DC3797"/>
    <w:rsid w:val="00DC59B1"/>
    <w:rsid w:val="00E06722"/>
    <w:rsid w:val="00E14003"/>
    <w:rsid w:val="00E31601"/>
    <w:rsid w:val="00E3537F"/>
    <w:rsid w:val="00E362CE"/>
    <w:rsid w:val="00E55519"/>
    <w:rsid w:val="00EA0D7E"/>
    <w:rsid w:val="00EC4606"/>
    <w:rsid w:val="00ED7821"/>
    <w:rsid w:val="00EE1C98"/>
    <w:rsid w:val="00EE4113"/>
    <w:rsid w:val="00EE5446"/>
    <w:rsid w:val="00EE57E0"/>
    <w:rsid w:val="00EF6140"/>
    <w:rsid w:val="00EF6FD9"/>
    <w:rsid w:val="00F01DB3"/>
    <w:rsid w:val="00F02686"/>
    <w:rsid w:val="00F111A8"/>
    <w:rsid w:val="00F437FC"/>
    <w:rsid w:val="00F46F8E"/>
    <w:rsid w:val="00F52C1C"/>
    <w:rsid w:val="00F53D0C"/>
    <w:rsid w:val="00F937C6"/>
    <w:rsid w:val="00FA46BE"/>
    <w:rsid w:val="00FB53BB"/>
    <w:rsid w:val="00FF7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666E"/>
  <w15:chartTrackingRefBased/>
  <w15:docId w15:val="{CD695B72-5DED-CF49-BC9B-714CBE3D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A2230"/>
  </w:style>
  <w:style w:type="paragraph" w:styleId="FootnoteText">
    <w:name w:val="footnote text"/>
    <w:basedOn w:val="Normal"/>
    <w:link w:val="FootnoteTextChar"/>
    <w:uiPriority w:val="99"/>
    <w:semiHidden/>
    <w:unhideWhenUsed/>
    <w:rsid w:val="00B97F4E"/>
    <w:rPr>
      <w:sz w:val="20"/>
      <w:szCs w:val="20"/>
    </w:rPr>
  </w:style>
  <w:style w:type="character" w:customStyle="1" w:styleId="FootnoteTextChar">
    <w:name w:val="Footnote Text Char"/>
    <w:basedOn w:val="DefaultParagraphFont"/>
    <w:link w:val="FootnoteText"/>
    <w:uiPriority w:val="99"/>
    <w:semiHidden/>
    <w:rsid w:val="00B97F4E"/>
    <w:rPr>
      <w:sz w:val="20"/>
      <w:szCs w:val="20"/>
    </w:rPr>
  </w:style>
  <w:style w:type="character" w:styleId="FootnoteReference">
    <w:name w:val="footnote reference"/>
    <w:basedOn w:val="DefaultParagraphFont"/>
    <w:uiPriority w:val="99"/>
    <w:semiHidden/>
    <w:unhideWhenUsed/>
    <w:rsid w:val="00B97F4E"/>
    <w:rPr>
      <w:vertAlign w:val="superscript"/>
    </w:rPr>
  </w:style>
  <w:style w:type="paragraph" w:styleId="BalloonText">
    <w:name w:val="Balloon Text"/>
    <w:basedOn w:val="Normal"/>
    <w:link w:val="BalloonTextChar"/>
    <w:uiPriority w:val="99"/>
    <w:semiHidden/>
    <w:unhideWhenUsed/>
    <w:rsid w:val="00CE4E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4ED5"/>
    <w:rPr>
      <w:rFonts w:ascii="Times New Roman" w:hAnsi="Times New Roman" w:cs="Times New Roman"/>
      <w:sz w:val="18"/>
      <w:szCs w:val="18"/>
    </w:rPr>
  </w:style>
  <w:style w:type="paragraph" w:styleId="NoSpacing">
    <w:name w:val="No Spacing"/>
    <w:link w:val="NoSpacingChar"/>
    <w:uiPriority w:val="1"/>
    <w:qFormat/>
    <w:rsid w:val="00D861D9"/>
    <w:rPr>
      <w:rFonts w:eastAsiaTheme="minorEastAsia"/>
      <w:sz w:val="22"/>
      <w:szCs w:val="22"/>
      <w:lang w:eastAsia="zh-CN"/>
    </w:rPr>
  </w:style>
  <w:style w:type="character" w:customStyle="1" w:styleId="NoSpacingChar">
    <w:name w:val="No Spacing Char"/>
    <w:basedOn w:val="DefaultParagraphFont"/>
    <w:link w:val="NoSpacing"/>
    <w:uiPriority w:val="1"/>
    <w:rsid w:val="00D861D9"/>
    <w:rPr>
      <w:rFonts w:eastAsiaTheme="minorEastAsia"/>
      <w:sz w:val="22"/>
      <w:szCs w:val="22"/>
      <w:lang w:eastAsia="zh-CN"/>
    </w:rPr>
  </w:style>
  <w:style w:type="paragraph" w:styleId="Footer">
    <w:name w:val="footer"/>
    <w:basedOn w:val="Normal"/>
    <w:link w:val="FooterChar"/>
    <w:uiPriority w:val="99"/>
    <w:unhideWhenUsed/>
    <w:rsid w:val="00D861D9"/>
    <w:pPr>
      <w:tabs>
        <w:tab w:val="center" w:pos="4680"/>
        <w:tab w:val="right" w:pos="9360"/>
      </w:tabs>
    </w:pPr>
  </w:style>
  <w:style w:type="character" w:customStyle="1" w:styleId="FooterChar">
    <w:name w:val="Footer Char"/>
    <w:basedOn w:val="DefaultParagraphFont"/>
    <w:link w:val="Footer"/>
    <w:uiPriority w:val="99"/>
    <w:rsid w:val="00D861D9"/>
  </w:style>
  <w:style w:type="character" w:styleId="PageNumber">
    <w:name w:val="page number"/>
    <w:basedOn w:val="DefaultParagraphFont"/>
    <w:uiPriority w:val="99"/>
    <w:semiHidden/>
    <w:unhideWhenUsed/>
    <w:rsid w:val="00D861D9"/>
  </w:style>
  <w:style w:type="table" w:styleId="TableGrid">
    <w:name w:val="Table Grid"/>
    <w:basedOn w:val="TableNormal"/>
    <w:uiPriority w:val="39"/>
    <w:rsid w:val="00F0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587E"/>
    <w:rPr>
      <w:sz w:val="16"/>
      <w:szCs w:val="16"/>
    </w:rPr>
  </w:style>
  <w:style w:type="paragraph" w:styleId="CommentText">
    <w:name w:val="annotation text"/>
    <w:basedOn w:val="Normal"/>
    <w:link w:val="CommentTextChar"/>
    <w:uiPriority w:val="99"/>
    <w:semiHidden/>
    <w:unhideWhenUsed/>
    <w:rsid w:val="001A587E"/>
    <w:rPr>
      <w:sz w:val="20"/>
      <w:szCs w:val="20"/>
    </w:rPr>
  </w:style>
  <w:style w:type="character" w:customStyle="1" w:styleId="CommentTextChar">
    <w:name w:val="Comment Text Char"/>
    <w:basedOn w:val="DefaultParagraphFont"/>
    <w:link w:val="CommentText"/>
    <w:uiPriority w:val="99"/>
    <w:semiHidden/>
    <w:rsid w:val="001A587E"/>
    <w:rPr>
      <w:sz w:val="20"/>
      <w:szCs w:val="20"/>
    </w:rPr>
  </w:style>
  <w:style w:type="paragraph" w:styleId="CommentSubject">
    <w:name w:val="annotation subject"/>
    <w:basedOn w:val="CommentText"/>
    <w:next w:val="CommentText"/>
    <w:link w:val="CommentSubjectChar"/>
    <w:uiPriority w:val="99"/>
    <w:semiHidden/>
    <w:unhideWhenUsed/>
    <w:rsid w:val="001A587E"/>
    <w:rPr>
      <w:b/>
      <w:bCs/>
    </w:rPr>
  </w:style>
  <w:style w:type="character" w:customStyle="1" w:styleId="CommentSubjectChar">
    <w:name w:val="Comment Subject Char"/>
    <w:basedOn w:val="CommentTextChar"/>
    <w:link w:val="CommentSubject"/>
    <w:uiPriority w:val="99"/>
    <w:semiHidden/>
    <w:rsid w:val="001A5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80468">
      <w:bodyDiv w:val="1"/>
      <w:marLeft w:val="0"/>
      <w:marRight w:val="0"/>
      <w:marTop w:val="0"/>
      <w:marBottom w:val="0"/>
      <w:divBdr>
        <w:top w:val="none" w:sz="0" w:space="0" w:color="auto"/>
        <w:left w:val="none" w:sz="0" w:space="0" w:color="auto"/>
        <w:bottom w:val="none" w:sz="0" w:space="0" w:color="auto"/>
        <w:right w:val="none" w:sz="0" w:space="0" w:color="auto"/>
      </w:divBdr>
    </w:div>
    <w:div w:id="14021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Employment</c:v>
                </c:pt>
              </c:strCache>
            </c:strRef>
          </c:tx>
          <c:spPr>
            <a:solidFill>
              <a:schemeClr val="accent1"/>
            </a:solidFill>
            <a:ln>
              <a:noFill/>
            </a:ln>
            <a:effectLst/>
          </c:spPr>
          <c:invertIfNegative val="0"/>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Sheet1!$B$2:$B$12</c:f>
              <c:numCache>
                <c:formatCode>_("$"* #,##0.0_);_("$"* \(#,##0.0\);_("$"* "-"??_);_(@_)</c:formatCode>
                <c:ptCount val="11"/>
                <c:pt idx="0">
                  <c:v>87.7</c:v>
                </c:pt>
                <c:pt idx="1">
                  <c:v>89.1</c:v>
                </c:pt>
                <c:pt idx="2">
                  <c:v>68</c:v>
                </c:pt>
                <c:pt idx="3">
                  <c:v>69.5</c:v>
                </c:pt>
                <c:pt idx="4">
                  <c:v>70.5</c:v>
                </c:pt>
                <c:pt idx="5">
                  <c:v>71.599999999999994</c:v>
                </c:pt>
                <c:pt idx="6">
                  <c:v>71.7</c:v>
                </c:pt>
                <c:pt idx="7">
                  <c:v>72.599999999999994</c:v>
                </c:pt>
                <c:pt idx="8">
                  <c:v>74.099999999999994</c:v>
                </c:pt>
                <c:pt idx="9">
                  <c:v>75.900000000000006</c:v>
                </c:pt>
                <c:pt idx="10">
                  <c:v>77.3</c:v>
                </c:pt>
              </c:numCache>
            </c:numRef>
          </c:val>
          <c:extLst>
            <c:ext xmlns:c16="http://schemas.microsoft.com/office/drawing/2014/chart" uri="{C3380CC4-5D6E-409C-BE32-E72D297353CC}">
              <c16:uniqueId val="{00000000-3C4F-4636-939F-8EE72CDBBA53}"/>
            </c:ext>
          </c:extLst>
        </c:ser>
        <c:ser>
          <c:idx val="1"/>
          <c:order val="1"/>
          <c:tx>
            <c:strRef>
              <c:f>Sheet1!$C$1</c:f>
              <c:strCache>
                <c:ptCount val="1"/>
                <c:pt idx="0">
                  <c:v>Spending</c:v>
                </c:pt>
              </c:strCache>
            </c:strRef>
          </c:tx>
          <c:spPr>
            <a:solidFill>
              <a:schemeClr val="accent2"/>
            </a:solidFill>
            <a:ln>
              <a:noFill/>
            </a:ln>
            <a:effectLst/>
          </c:spPr>
          <c:invertIfNegative val="0"/>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Sheet1!$C$2:$C$12</c:f>
              <c:numCache>
                <c:formatCode>_("$"* #,##0.0_);_("$"* \(#,##0.0\);_("$"* "-"??_);_(@_)</c:formatCode>
                <c:ptCount val="11"/>
                <c:pt idx="0">
                  <c:v>9.9</c:v>
                </c:pt>
                <c:pt idx="1">
                  <c:v>9.9</c:v>
                </c:pt>
                <c:pt idx="2">
                  <c:v>9.9</c:v>
                </c:pt>
                <c:pt idx="3">
                  <c:v>9.9</c:v>
                </c:pt>
                <c:pt idx="4">
                  <c:v>9.9</c:v>
                </c:pt>
                <c:pt idx="5">
                  <c:v>9.9</c:v>
                </c:pt>
                <c:pt idx="6">
                  <c:v>28.5</c:v>
                </c:pt>
                <c:pt idx="7">
                  <c:v>28.5</c:v>
                </c:pt>
                <c:pt idx="8">
                  <c:v>28.5</c:v>
                </c:pt>
                <c:pt idx="9">
                  <c:v>28.5</c:v>
                </c:pt>
                <c:pt idx="10">
                  <c:v>28.5</c:v>
                </c:pt>
              </c:numCache>
            </c:numRef>
          </c:val>
          <c:extLst>
            <c:ext xmlns:c16="http://schemas.microsoft.com/office/drawing/2014/chart" uri="{C3380CC4-5D6E-409C-BE32-E72D297353CC}">
              <c16:uniqueId val="{00000000-9CF8-A349-8083-A19778D0B2C0}"/>
            </c:ext>
          </c:extLst>
        </c:ser>
        <c:dLbls>
          <c:showLegendKey val="0"/>
          <c:showVal val="0"/>
          <c:showCatName val="0"/>
          <c:showSerName val="0"/>
          <c:showPercent val="0"/>
          <c:showBubbleSize val="0"/>
        </c:dLbls>
        <c:gapWidth val="219"/>
        <c:overlap val="100"/>
        <c:axId val="1211024688"/>
        <c:axId val="1211026320"/>
      </c:barChart>
      <c:lineChart>
        <c:grouping val="standard"/>
        <c:varyColors val="0"/>
        <c:ser>
          <c:idx val="2"/>
          <c:order val="2"/>
          <c:tx>
            <c:strRef>
              <c:f>Sheet1!$D$1</c:f>
              <c:strCache>
                <c:ptCount val="1"/>
                <c:pt idx="0">
                  <c:v>Series 3</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Sheet1!$D$2:$D$12</c:f>
              <c:numCache>
                <c:formatCode>General</c:formatCode>
                <c:ptCount val="11"/>
                <c:pt idx="0">
                  <c:v>97.600000000000009</c:v>
                </c:pt>
                <c:pt idx="1">
                  <c:v>99</c:v>
                </c:pt>
                <c:pt idx="2">
                  <c:v>77.900000000000006</c:v>
                </c:pt>
                <c:pt idx="3">
                  <c:v>79.400000000000006</c:v>
                </c:pt>
                <c:pt idx="4">
                  <c:v>80.400000000000006</c:v>
                </c:pt>
                <c:pt idx="5">
                  <c:v>81.5</c:v>
                </c:pt>
                <c:pt idx="6">
                  <c:v>100.2</c:v>
                </c:pt>
                <c:pt idx="7">
                  <c:v>101.1</c:v>
                </c:pt>
                <c:pt idx="8">
                  <c:v>102.6</c:v>
                </c:pt>
                <c:pt idx="9">
                  <c:v>104.4</c:v>
                </c:pt>
                <c:pt idx="10">
                  <c:v>105.8</c:v>
                </c:pt>
              </c:numCache>
            </c:numRef>
          </c:val>
          <c:smooth val="0"/>
          <c:extLst>
            <c:ext xmlns:c16="http://schemas.microsoft.com/office/drawing/2014/chart" uri="{C3380CC4-5D6E-409C-BE32-E72D297353CC}">
              <c16:uniqueId val="{00000001-9CF8-A349-8083-A19778D0B2C0}"/>
            </c:ext>
          </c:extLst>
        </c:ser>
        <c:dLbls>
          <c:showLegendKey val="0"/>
          <c:showVal val="0"/>
          <c:showCatName val="0"/>
          <c:showSerName val="0"/>
          <c:showPercent val="0"/>
          <c:showBubbleSize val="0"/>
        </c:dLbls>
        <c:marker val="1"/>
        <c:smooth val="0"/>
        <c:axId val="1211024688"/>
        <c:axId val="1211026320"/>
      </c:lineChart>
      <c:catAx>
        <c:axId val="121102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211026320"/>
        <c:crosses val="autoZero"/>
        <c:auto val="1"/>
        <c:lblAlgn val="ctr"/>
        <c:lblOffset val="100"/>
        <c:noMultiLvlLbl val="0"/>
      </c:catAx>
      <c:valAx>
        <c:axId val="1211026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Millions</a:t>
                </a:r>
                <a:r>
                  <a:rPr lang="en-US" b="1" baseline="0"/>
                  <a:t> of Nominal Dollars</a:t>
                </a:r>
                <a:endParaRPr lang="en-US" b="1"/>
              </a:p>
            </c:rich>
          </c:tx>
          <c:layout>
            <c:manualLayout>
              <c:xMode val="edge"/>
              <c:yMode val="edge"/>
              <c:x val="1.3888888888888888E-2"/>
              <c:y val="0.23971566054243215"/>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21102468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Sheet1!$B$1</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Sheet1!$B$2:$B$12</c:f>
              <c:numCache>
                <c:formatCode>"$"#,##0.0</c:formatCode>
                <c:ptCount val="11"/>
                <c:pt idx="0">
                  <c:v>121.44692035881403</c:v>
                </c:pt>
                <c:pt idx="1">
                  <c:v>242.26193947294084</c:v>
                </c:pt>
                <c:pt idx="2">
                  <c:v>335.5175497517036</c:v>
                </c:pt>
                <c:pt idx="3">
                  <c:v>428.59755428592314</c:v>
                </c:pt>
                <c:pt idx="4">
                  <c:v>521.02210746292974</c:v>
                </c:pt>
                <c:pt idx="5">
                  <c:v>612.91659184347338</c:v>
                </c:pt>
                <c:pt idx="6">
                  <c:v>723.57524640779172</c:v>
                </c:pt>
                <c:pt idx="7">
                  <c:v>833.0498000780965</c:v>
                </c:pt>
                <c:pt idx="8">
                  <c:v>942.0236712253045</c:v>
                </c:pt>
                <c:pt idx="9">
                  <c:v>1050.7399272848077</c:v>
                </c:pt>
                <c:pt idx="10">
                  <c:v>1158.7293270235407</c:v>
                </c:pt>
              </c:numCache>
            </c:numRef>
          </c:val>
          <c:extLst>
            <c:ext xmlns:c16="http://schemas.microsoft.com/office/drawing/2014/chart" uri="{C3380CC4-5D6E-409C-BE32-E72D297353CC}">
              <c16:uniqueId val="{00000000-B5BA-4028-AD39-540F540F39EC}"/>
            </c:ext>
          </c:extLst>
        </c:ser>
        <c:dLbls>
          <c:showLegendKey val="0"/>
          <c:showVal val="0"/>
          <c:showCatName val="0"/>
          <c:showSerName val="0"/>
          <c:showPercent val="0"/>
          <c:showBubbleSize val="0"/>
        </c:dLbls>
        <c:gapWidth val="150"/>
        <c:axId val="1137611280"/>
        <c:axId val="1187478816"/>
      </c:barChart>
      <c:catAx>
        <c:axId val="113761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87478816"/>
        <c:crosses val="autoZero"/>
        <c:auto val="1"/>
        <c:lblAlgn val="ctr"/>
        <c:lblOffset val="100"/>
        <c:noMultiLvlLbl val="0"/>
      </c:catAx>
      <c:valAx>
        <c:axId val="1187478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a:t>Millions of 2019 Dollars</a:t>
                </a:r>
              </a:p>
            </c:rich>
          </c:tx>
          <c:layout>
            <c:manualLayout>
              <c:xMode val="edge"/>
              <c:yMode val="edge"/>
              <c:x val="1.3888888888888888E-2"/>
              <c:y val="0.27390201224846894"/>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3761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Employment</c:v>
                </c:pt>
              </c:strCache>
            </c:strRef>
          </c:tx>
          <c:spPr>
            <a:solidFill>
              <a:schemeClr val="accent2"/>
            </a:solidFill>
            <a:ln>
              <a:noFill/>
            </a:ln>
            <a:effectLst/>
          </c:spPr>
          <c:invertIfNegative val="0"/>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Sheet1!$B$2:$B$12</c:f>
              <c:numCache>
                <c:formatCode>0</c:formatCode>
                <c:ptCount val="11"/>
                <c:pt idx="0">
                  <c:v>560.23199959306601</c:v>
                </c:pt>
                <c:pt idx="1">
                  <c:v>560.23199959306601</c:v>
                </c:pt>
                <c:pt idx="2">
                  <c:v>414.71719450395801</c:v>
                </c:pt>
                <c:pt idx="3">
                  <c:v>414.71719450395801</c:v>
                </c:pt>
                <c:pt idx="4">
                  <c:v>414.71719450395801</c:v>
                </c:pt>
                <c:pt idx="5">
                  <c:v>414.71719450395801</c:v>
                </c:pt>
                <c:pt idx="6">
                  <c:v>414.71719450395801</c:v>
                </c:pt>
                <c:pt idx="7">
                  <c:v>414.71719450395801</c:v>
                </c:pt>
                <c:pt idx="8">
                  <c:v>414.71719450395801</c:v>
                </c:pt>
                <c:pt idx="9">
                  <c:v>414.71719450395801</c:v>
                </c:pt>
                <c:pt idx="10">
                  <c:v>414.71719450395801</c:v>
                </c:pt>
              </c:numCache>
            </c:numRef>
          </c:val>
          <c:extLst>
            <c:ext xmlns:c16="http://schemas.microsoft.com/office/drawing/2014/chart" uri="{C3380CC4-5D6E-409C-BE32-E72D297353CC}">
              <c16:uniqueId val="{00000000-91B6-4B4B-A88C-0357BA97DA39}"/>
            </c:ext>
          </c:extLst>
        </c:ser>
        <c:ser>
          <c:idx val="2"/>
          <c:order val="1"/>
          <c:tx>
            <c:strRef>
              <c:f>Sheet1!$C$1</c:f>
              <c:strCache>
                <c:ptCount val="1"/>
                <c:pt idx="0">
                  <c:v>Spending</c:v>
                </c:pt>
              </c:strCache>
            </c:strRef>
          </c:tx>
          <c:spPr>
            <a:solidFill>
              <a:schemeClr val="accent3"/>
            </a:solidFill>
            <a:ln>
              <a:noFill/>
            </a:ln>
            <a:effectLst/>
          </c:spPr>
          <c:invertIfNegative val="0"/>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Sheet1!$C$2:$C$12</c:f>
              <c:numCache>
                <c:formatCode>General</c:formatCode>
                <c:ptCount val="11"/>
                <c:pt idx="0">
                  <c:v>54</c:v>
                </c:pt>
                <c:pt idx="1">
                  <c:v>54</c:v>
                </c:pt>
                <c:pt idx="2">
                  <c:v>54</c:v>
                </c:pt>
                <c:pt idx="3">
                  <c:v>54</c:v>
                </c:pt>
                <c:pt idx="4">
                  <c:v>54</c:v>
                </c:pt>
                <c:pt idx="5">
                  <c:v>54</c:v>
                </c:pt>
                <c:pt idx="6">
                  <c:v>153</c:v>
                </c:pt>
                <c:pt idx="7">
                  <c:v>153</c:v>
                </c:pt>
                <c:pt idx="8">
                  <c:v>153</c:v>
                </c:pt>
                <c:pt idx="9">
                  <c:v>153</c:v>
                </c:pt>
                <c:pt idx="10">
                  <c:v>153</c:v>
                </c:pt>
              </c:numCache>
            </c:numRef>
          </c:val>
          <c:extLst>
            <c:ext xmlns:c16="http://schemas.microsoft.com/office/drawing/2014/chart" uri="{C3380CC4-5D6E-409C-BE32-E72D297353CC}">
              <c16:uniqueId val="{00000001-91B6-4B4B-A88C-0357BA97DA39}"/>
            </c:ext>
          </c:extLst>
        </c:ser>
        <c:dLbls>
          <c:showLegendKey val="0"/>
          <c:showVal val="0"/>
          <c:showCatName val="0"/>
          <c:showSerName val="0"/>
          <c:showPercent val="0"/>
          <c:showBubbleSize val="0"/>
        </c:dLbls>
        <c:gapWidth val="219"/>
        <c:overlap val="100"/>
        <c:axId val="1110189648"/>
        <c:axId val="1110192704"/>
      </c:barChart>
      <c:lineChart>
        <c:grouping val="standard"/>
        <c:varyColors val="0"/>
        <c:ser>
          <c:idx val="3"/>
          <c:order val="2"/>
          <c:tx>
            <c:strRef>
              <c:f>Sheet1!$D$1</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Sheet1!$D$2:$D$12</c:f>
              <c:numCache>
                <c:formatCode>0</c:formatCode>
                <c:ptCount val="11"/>
                <c:pt idx="0">
                  <c:v>614.23199959306601</c:v>
                </c:pt>
                <c:pt idx="1">
                  <c:v>614.23199959306601</c:v>
                </c:pt>
                <c:pt idx="2">
                  <c:v>468.71719450395801</c:v>
                </c:pt>
                <c:pt idx="3">
                  <c:v>468.71719450395801</c:v>
                </c:pt>
                <c:pt idx="4">
                  <c:v>468.71719450395801</c:v>
                </c:pt>
                <c:pt idx="5">
                  <c:v>468.71719450395801</c:v>
                </c:pt>
                <c:pt idx="6">
                  <c:v>567.71719450395801</c:v>
                </c:pt>
                <c:pt idx="7">
                  <c:v>567.71719450395801</c:v>
                </c:pt>
                <c:pt idx="8">
                  <c:v>567.71719450395801</c:v>
                </c:pt>
                <c:pt idx="9">
                  <c:v>567.71719450395801</c:v>
                </c:pt>
                <c:pt idx="10">
                  <c:v>567.71719450395801</c:v>
                </c:pt>
              </c:numCache>
            </c:numRef>
          </c:val>
          <c:smooth val="0"/>
          <c:extLst>
            <c:ext xmlns:c16="http://schemas.microsoft.com/office/drawing/2014/chart" uri="{C3380CC4-5D6E-409C-BE32-E72D297353CC}">
              <c16:uniqueId val="{00000002-91B6-4B4B-A88C-0357BA97DA39}"/>
            </c:ext>
          </c:extLst>
        </c:ser>
        <c:dLbls>
          <c:showLegendKey val="0"/>
          <c:showVal val="0"/>
          <c:showCatName val="0"/>
          <c:showSerName val="0"/>
          <c:showPercent val="0"/>
          <c:showBubbleSize val="0"/>
        </c:dLbls>
        <c:marker val="1"/>
        <c:smooth val="0"/>
        <c:axId val="1110189648"/>
        <c:axId val="1110192704"/>
      </c:lineChart>
      <c:catAx>
        <c:axId val="111018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10192704"/>
        <c:crosses val="autoZero"/>
        <c:auto val="1"/>
        <c:lblAlgn val="ctr"/>
        <c:lblOffset val="100"/>
        <c:noMultiLvlLbl val="0"/>
      </c:catAx>
      <c:valAx>
        <c:axId val="1110192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a:t>Nonfarm Payrolls</a:t>
                </a:r>
              </a:p>
            </c:rich>
          </c:tx>
          <c:layout>
            <c:manualLayout>
              <c:xMode val="edge"/>
              <c:yMode val="edge"/>
              <c:x val="1.6203703703703703E-2"/>
              <c:y val="0.3206480439945007"/>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1018964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ZIM Integrated Shipping Services Ltd. (ZIM Shipping) is a container shipment carrier that operates a modern fleet of ships and services global routes through a network of shipping lines. We estimate that the total economic impact of ZIM Shipping’s operations in the Commonwealth are approximately $1,158.7 million in 2019 dollars over the 2009 to 2019 time period.   </Abstract>
  <CompanyAddress/>
  <CompanyPhone/>
  <CompanyFax/>
  <CompanyEmail>rmcnab@odu.edu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8F9C11-11F0-4E5C-A79B-70E5F3CF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3332</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The Economic impact of ZIM shipping’s operations in the Commonwealth of Virginia</vt:lpstr>
    </vt:vector>
  </TitlesOfParts>
  <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impact of ZIM shipping’s operations in the Commonwealth of Virginia</dc:title>
  <dc:subject>May 2020</dc:subject>
  <dc:creator>Dragas Center for Economic Analysis and Policy</dc:creator>
  <cp:keywords/>
  <dc:description/>
  <cp:lastModifiedBy>Dov Hoch</cp:lastModifiedBy>
  <cp:revision>2</cp:revision>
  <cp:lastPrinted>2020-04-28T17:45:00Z</cp:lastPrinted>
  <dcterms:created xsi:type="dcterms:W3CDTF">2020-06-01T08:35:00Z</dcterms:created>
  <dcterms:modified xsi:type="dcterms:W3CDTF">2020-06-01T08:35:00Z</dcterms:modified>
</cp:coreProperties>
</file>