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859266893"/>
        <w:docPartObj>
          <w:docPartGallery w:val="Cover Pages"/>
          <w:docPartUnique/>
        </w:docPartObj>
      </w:sdtPr>
      <w:sdtEndPr>
        <w:rPr>
          <w:b/>
          <w:bCs/>
          <w:sz w:val="24"/>
          <w:szCs w:val="24"/>
        </w:rPr>
      </w:sdtEndPr>
      <w:sdtContent>
        <w:p w14:paraId="0A3FC12D" w14:textId="4B02E1A4" w:rsidR="00B95EBF" w:rsidRDefault="00B95EBF">
          <w:r>
            <w:rPr>
              <w:noProof/>
            </w:rPr>
            <mc:AlternateContent>
              <mc:Choice Requires="wpg">
                <w:drawing>
                  <wp:anchor distT="0" distB="0" distL="114300" distR="114300" simplePos="0" relativeHeight="251662336" behindDoc="0" locked="0" layoutInCell="1" allowOverlap="1" wp14:anchorId="4AE2998A" wp14:editId="722913D4">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8834B10"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2CEA9DE8" wp14:editId="3FB8AAB8">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8F07756" w14:textId="6E182F24" w:rsidR="00CF686D" w:rsidRDefault="00CF686D">
                                    <w:pPr>
                                      <w:pStyle w:val="NoSpacing"/>
                                      <w:jc w:val="right"/>
                                      <w:rPr>
                                        <w:color w:val="595959" w:themeColor="text1" w:themeTint="A6"/>
                                        <w:sz w:val="28"/>
                                        <w:szCs w:val="28"/>
                                      </w:rPr>
                                    </w:pPr>
                                    <w:proofErr w:type="spellStart"/>
                                    <w:r>
                                      <w:rPr>
                                        <w:color w:val="595959" w:themeColor="text1" w:themeTint="A6"/>
                                        <w:sz w:val="28"/>
                                        <w:szCs w:val="28"/>
                                      </w:rPr>
                                      <w:t>Dragas</w:t>
                                    </w:r>
                                    <w:proofErr w:type="spellEnd"/>
                                    <w:r>
                                      <w:rPr>
                                        <w:color w:val="595959" w:themeColor="text1" w:themeTint="A6"/>
                                        <w:sz w:val="28"/>
                                        <w:szCs w:val="28"/>
                                      </w:rPr>
                                      <w:t xml:space="preserve"> Center for Economic Analysis and Policy</w:t>
                                    </w:r>
                                  </w:p>
                                </w:sdtContent>
                              </w:sdt>
                              <w:p w14:paraId="6C1F1407" w14:textId="46E08E69" w:rsidR="00CF686D" w:rsidRDefault="00BC66B3">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CF686D">
                                      <w:rPr>
                                        <w:color w:val="595959" w:themeColor="text1" w:themeTint="A6"/>
                                        <w:sz w:val="18"/>
                                        <w:szCs w:val="18"/>
                                      </w:rPr>
                                      <w:t>rmcnab@odu.edu</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CEA9DE8"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8F07756" w14:textId="6E182F24" w:rsidR="00CF686D" w:rsidRDefault="00CF686D">
                              <w:pPr>
                                <w:pStyle w:val="NoSpacing"/>
                                <w:jc w:val="right"/>
                                <w:rPr>
                                  <w:color w:val="595959" w:themeColor="text1" w:themeTint="A6"/>
                                  <w:sz w:val="28"/>
                                  <w:szCs w:val="28"/>
                                </w:rPr>
                              </w:pPr>
                              <w:r>
                                <w:rPr>
                                  <w:color w:val="595959" w:themeColor="text1" w:themeTint="A6"/>
                                  <w:sz w:val="28"/>
                                  <w:szCs w:val="28"/>
                                </w:rPr>
                                <w:t>Dragas Center for Economic Analysis and Policy</w:t>
                              </w:r>
                            </w:p>
                          </w:sdtContent>
                        </w:sdt>
                        <w:p w14:paraId="6C1F1407" w14:textId="46E08E69" w:rsidR="00CF686D" w:rsidRDefault="0003780E">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CF686D">
                                <w:rPr>
                                  <w:color w:val="595959" w:themeColor="text1" w:themeTint="A6"/>
                                  <w:sz w:val="18"/>
                                  <w:szCs w:val="18"/>
                                </w:rPr>
                                <w:t>rmcnab@odu.edu</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2A7A1BBA" wp14:editId="298681F8">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901FA8" w14:textId="77777777" w:rsidR="00CF686D" w:rsidRDefault="00CF686D">
                                <w:pPr>
                                  <w:pStyle w:val="NoSpacing"/>
                                  <w:jc w:val="right"/>
                                  <w:rPr>
                                    <w:color w:val="4472C4" w:themeColor="accent1"/>
                                    <w:sz w:val="28"/>
                                    <w:szCs w:val="28"/>
                                  </w:rPr>
                                </w:pPr>
                                <w:r>
                                  <w:rPr>
                                    <w:color w:val="4472C4" w:themeColor="accent1"/>
                                    <w:sz w:val="28"/>
                                    <w:szCs w:val="28"/>
                                  </w:rPr>
                                  <w:t>Abstract</w:t>
                                </w:r>
                              </w:p>
                              <w:sdt>
                                <w:sdtPr>
                                  <w:rPr>
                                    <w:sz w:val="24"/>
                                    <w:szCs w:val="24"/>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681B3796" w14:textId="540ED1A9" w:rsidR="00CF686D" w:rsidRDefault="00CF686D">
                                    <w:pPr>
                                      <w:pStyle w:val="NoSpacing"/>
                                      <w:jc w:val="right"/>
                                      <w:rPr>
                                        <w:color w:val="595959" w:themeColor="text1" w:themeTint="A6"/>
                                        <w:sz w:val="20"/>
                                        <w:szCs w:val="20"/>
                                      </w:rPr>
                                    </w:pPr>
                                    <w:r w:rsidRPr="0011713F">
                                      <w:rPr>
                                        <w:sz w:val="24"/>
                                        <w:szCs w:val="24"/>
                                      </w:rPr>
                                      <w:t xml:space="preserve">We estimate that </w:t>
                                    </w:r>
                                    <w:proofErr w:type="spellStart"/>
                                    <w:r w:rsidRPr="0011713F">
                                      <w:rPr>
                                        <w:sz w:val="24"/>
                                        <w:szCs w:val="24"/>
                                      </w:rPr>
                                      <w:t>Energix’s</w:t>
                                    </w:r>
                                    <w:proofErr w:type="spellEnd"/>
                                    <w:r>
                                      <w:rPr>
                                        <w:sz w:val="24"/>
                                        <w:szCs w:val="24"/>
                                      </w:rPr>
                                      <w:t xml:space="preserve"> planned</w:t>
                                    </w:r>
                                    <w:r w:rsidRPr="0011713F">
                                      <w:rPr>
                                        <w:sz w:val="24"/>
                                        <w:szCs w:val="24"/>
                                      </w:rPr>
                                      <w:t xml:space="preserve"> investment of $130 million in Virginia by the end of the first quarter of 2020 will </w:t>
                                    </w:r>
                                    <w:r>
                                      <w:rPr>
                                        <w:sz w:val="24"/>
                                        <w:szCs w:val="24"/>
                                      </w:rPr>
                                      <w:t xml:space="preserve">raise </w:t>
                                    </w:r>
                                    <w:r w:rsidRPr="0011713F">
                                      <w:rPr>
                                        <w:sz w:val="24"/>
                                        <w:szCs w:val="24"/>
                                      </w:rPr>
                                      <w:t>Virginia’s real (inflation-adjusted) Gross Domestic Product by $</w:t>
                                    </w:r>
                                    <w:r>
                                      <w:rPr>
                                        <w:sz w:val="24"/>
                                        <w:szCs w:val="24"/>
                                      </w:rPr>
                                      <w:t xml:space="preserve">33.2 </w:t>
                                    </w:r>
                                    <w:r w:rsidRPr="0011713F">
                                      <w:rPr>
                                        <w:sz w:val="24"/>
                                        <w:szCs w:val="24"/>
                                      </w:rPr>
                                      <w:t xml:space="preserve">million by the end of 2020. </w:t>
                                    </w:r>
                                    <w:r>
                                      <w:rPr>
                                        <w:sz w:val="24"/>
                                        <w:szCs w:val="24"/>
                                      </w:rPr>
                                      <w:t>By</w:t>
                                    </w:r>
                                    <w:r w:rsidRPr="0011713F">
                                      <w:rPr>
                                        <w:sz w:val="24"/>
                                        <w:szCs w:val="24"/>
                                      </w:rPr>
                                      <w:t xml:space="preserve"> 2025, we estimate that </w:t>
                                    </w:r>
                                    <w:proofErr w:type="spellStart"/>
                                    <w:r w:rsidRPr="0011713F">
                                      <w:rPr>
                                        <w:sz w:val="24"/>
                                        <w:szCs w:val="24"/>
                                      </w:rPr>
                                      <w:t>Energix’s</w:t>
                                    </w:r>
                                    <w:proofErr w:type="spellEnd"/>
                                    <w:r>
                                      <w:rPr>
                                        <w:sz w:val="24"/>
                                        <w:szCs w:val="24"/>
                                      </w:rPr>
                                      <w:t xml:space="preserve"> $130 million investment in 2019 and 2020 and the</w:t>
                                    </w:r>
                                    <w:r w:rsidRPr="0011713F">
                                      <w:rPr>
                                        <w:sz w:val="24"/>
                                        <w:szCs w:val="24"/>
                                      </w:rPr>
                                      <w:t xml:space="preserve"> operation</w:t>
                                    </w:r>
                                    <w:r>
                                      <w:rPr>
                                        <w:sz w:val="24"/>
                                        <w:szCs w:val="24"/>
                                      </w:rPr>
                                      <w:t>s of its facilities in the Commonwealth</w:t>
                                    </w:r>
                                    <w:r w:rsidRPr="0011713F">
                                      <w:rPr>
                                        <w:sz w:val="24"/>
                                        <w:szCs w:val="24"/>
                                      </w:rPr>
                                      <w:t xml:space="preserve"> will increase</w:t>
                                    </w:r>
                                    <w:r>
                                      <w:rPr>
                                        <w:sz w:val="24"/>
                                        <w:szCs w:val="24"/>
                                      </w:rPr>
                                      <w:t xml:space="preserve"> </w:t>
                                    </w:r>
                                    <w:r w:rsidRPr="0011713F">
                                      <w:rPr>
                                        <w:sz w:val="24"/>
                                        <w:szCs w:val="24"/>
                                      </w:rPr>
                                      <w:t>real GDP in Virginia by $4</w:t>
                                    </w:r>
                                    <w:r>
                                      <w:rPr>
                                        <w:sz w:val="24"/>
                                        <w:szCs w:val="24"/>
                                      </w:rPr>
                                      <w:t>8</w:t>
                                    </w:r>
                                    <w:r w:rsidRPr="0011713F">
                                      <w:rPr>
                                        <w:sz w:val="24"/>
                                        <w:szCs w:val="24"/>
                                      </w:rPr>
                                      <w:t>.</w:t>
                                    </w:r>
                                    <w:r>
                                      <w:rPr>
                                        <w:sz w:val="24"/>
                                        <w:szCs w:val="24"/>
                                      </w:rPr>
                                      <w:t xml:space="preserve">7 </w:t>
                                    </w:r>
                                    <w:r w:rsidRPr="0011713F">
                                      <w:rPr>
                                        <w:sz w:val="24"/>
                                        <w:szCs w:val="24"/>
                                      </w:rPr>
                                      <w:t>million and create</w:t>
                                    </w:r>
                                    <w:r>
                                      <w:rPr>
                                        <w:sz w:val="24"/>
                                        <w:szCs w:val="24"/>
                                      </w:rPr>
                                      <w:t xml:space="preserve"> 30</w:t>
                                    </w:r>
                                    <w:r w:rsidRPr="0011713F">
                                      <w:rPr>
                                        <w:sz w:val="24"/>
                                        <w:szCs w:val="24"/>
                                      </w:rPr>
                                      <w:t xml:space="preserve"> new permanent jobs. </w:t>
                                    </w:r>
                                    <w:proofErr w:type="spellStart"/>
                                    <w:r w:rsidRPr="0011713F">
                                      <w:rPr>
                                        <w:sz w:val="24"/>
                                        <w:szCs w:val="24"/>
                                      </w:rPr>
                                      <w:t>Energix’s</w:t>
                                    </w:r>
                                    <w:proofErr w:type="spellEnd"/>
                                    <w:r>
                                      <w:rPr>
                                        <w:sz w:val="24"/>
                                        <w:szCs w:val="24"/>
                                      </w:rPr>
                                      <w:t xml:space="preserve"> planned</w:t>
                                    </w:r>
                                    <w:r w:rsidRPr="0011713F">
                                      <w:rPr>
                                        <w:sz w:val="24"/>
                                        <w:szCs w:val="24"/>
                                      </w:rPr>
                                      <w:t xml:space="preserve"> management operations in Northern </w:t>
                                    </w:r>
                                    <w:r>
                                      <w:rPr>
                                        <w:sz w:val="24"/>
                                        <w:szCs w:val="24"/>
                                      </w:rPr>
                                      <w:t>Virginia will create 57 permanent jobs and raise Virginia’s real GDP by $5.5 million when hiring reaches planned levels.</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A7A1BBA"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44901FA8" w14:textId="77777777" w:rsidR="00CF686D" w:rsidRDefault="00CF686D">
                          <w:pPr>
                            <w:pStyle w:val="NoSpacing"/>
                            <w:jc w:val="right"/>
                            <w:rPr>
                              <w:color w:val="4472C4" w:themeColor="accent1"/>
                              <w:sz w:val="28"/>
                              <w:szCs w:val="28"/>
                            </w:rPr>
                          </w:pPr>
                          <w:r>
                            <w:rPr>
                              <w:color w:val="4472C4" w:themeColor="accent1"/>
                              <w:sz w:val="28"/>
                              <w:szCs w:val="28"/>
                            </w:rPr>
                            <w:t>Abstract</w:t>
                          </w:r>
                        </w:p>
                        <w:sdt>
                          <w:sdtPr>
                            <w:rPr>
                              <w:sz w:val="24"/>
                              <w:szCs w:val="24"/>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681B3796" w14:textId="540ED1A9" w:rsidR="00CF686D" w:rsidRDefault="00CF686D">
                              <w:pPr>
                                <w:pStyle w:val="NoSpacing"/>
                                <w:jc w:val="right"/>
                                <w:rPr>
                                  <w:color w:val="595959" w:themeColor="text1" w:themeTint="A6"/>
                                  <w:sz w:val="20"/>
                                  <w:szCs w:val="20"/>
                                </w:rPr>
                              </w:pPr>
                              <w:r w:rsidRPr="0011713F">
                                <w:rPr>
                                  <w:sz w:val="24"/>
                                  <w:szCs w:val="24"/>
                                </w:rPr>
                                <w:t>We estimate that Energix’s</w:t>
                              </w:r>
                              <w:r>
                                <w:rPr>
                                  <w:sz w:val="24"/>
                                  <w:szCs w:val="24"/>
                                </w:rPr>
                                <w:t xml:space="preserve"> planned</w:t>
                              </w:r>
                              <w:r w:rsidRPr="0011713F">
                                <w:rPr>
                                  <w:sz w:val="24"/>
                                  <w:szCs w:val="24"/>
                                </w:rPr>
                                <w:t xml:space="preserve"> investment of $130 million in Virginia by the end of the first quarter of 2020 will </w:t>
                              </w:r>
                              <w:r>
                                <w:rPr>
                                  <w:sz w:val="24"/>
                                  <w:szCs w:val="24"/>
                                </w:rPr>
                                <w:t xml:space="preserve">raise </w:t>
                              </w:r>
                              <w:r w:rsidRPr="0011713F">
                                <w:rPr>
                                  <w:sz w:val="24"/>
                                  <w:szCs w:val="24"/>
                                </w:rPr>
                                <w:t>Virginia’s real (inflation-adjusted) Gross Domestic Product by $</w:t>
                              </w:r>
                              <w:r>
                                <w:rPr>
                                  <w:sz w:val="24"/>
                                  <w:szCs w:val="24"/>
                                </w:rPr>
                                <w:t xml:space="preserve">33.2 </w:t>
                              </w:r>
                              <w:r w:rsidRPr="0011713F">
                                <w:rPr>
                                  <w:sz w:val="24"/>
                                  <w:szCs w:val="24"/>
                                </w:rPr>
                                <w:t xml:space="preserve">million by the end of 2020. </w:t>
                              </w:r>
                              <w:r>
                                <w:rPr>
                                  <w:sz w:val="24"/>
                                  <w:szCs w:val="24"/>
                                </w:rPr>
                                <w:t>By</w:t>
                              </w:r>
                              <w:r w:rsidRPr="0011713F">
                                <w:rPr>
                                  <w:sz w:val="24"/>
                                  <w:szCs w:val="24"/>
                                </w:rPr>
                                <w:t xml:space="preserve"> 2025, we estimate that Energix’s</w:t>
                              </w:r>
                              <w:r>
                                <w:rPr>
                                  <w:sz w:val="24"/>
                                  <w:szCs w:val="24"/>
                                </w:rPr>
                                <w:t xml:space="preserve"> $130 million investment in 2019 and 2020 and the</w:t>
                              </w:r>
                              <w:r w:rsidRPr="0011713F">
                                <w:rPr>
                                  <w:sz w:val="24"/>
                                  <w:szCs w:val="24"/>
                                </w:rPr>
                                <w:t xml:space="preserve"> operation</w:t>
                              </w:r>
                              <w:r>
                                <w:rPr>
                                  <w:sz w:val="24"/>
                                  <w:szCs w:val="24"/>
                                </w:rPr>
                                <w:t>s of its facilities in the Commonwealth</w:t>
                              </w:r>
                              <w:r w:rsidRPr="0011713F">
                                <w:rPr>
                                  <w:sz w:val="24"/>
                                  <w:szCs w:val="24"/>
                                </w:rPr>
                                <w:t xml:space="preserve"> will increase</w:t>
                              </w:r>
                              <w:r>
                                <w:rPr>
                                  <w:sz w:val="24"/>
                                  <w:szCs w:val="24"/>
                                </w:rPr>
                                <w:t xml:space="preserve"> </w:t>
                              </w:r>
                              <w:r w:rsidRPr="0011713F">
                                <w:rPr>
                                  <w:sz w:val="24"/>
                                  <w:szCs w:val="24"/>
                                </w:rPr>
                                <w:t>real GDP in Virginia by $4</w:t>
                              </w:r>
                              <w:r>
                                <w:rPr>
                                  <w:sz w:val="24"/>
                                  <w:szCs w:val="24"/>
                                </w:rPr>
                                <w:t>8</w:t>
                              </w:r>
                              <w:r w:rsidRPr="0011713F">
                                <w:rPr>
                                  <w:sz w:val="24"/>
                                  <w:szCs w:val="24"/>
                                </w:rPr>
                                <w:t>.</w:t>
                              </w:r>
                              <w:r>
                                <w:rPr>
                                  <w:sz w:val="24"/>
                                  <w:szCs w:val="24"/>
                                </w:rPr>
                                <w:t xml:space="preserve">7 </w:t>
                              </w:r>
                              <w:r w:rsidRPr="0011713F">
                                <w:rPr>
                                  <w:sz w:val="24"/>
                                  <w:szCs w:val="24"/>
                                </w:rPr>
                                <w:t>million and create</w:t>
                              </w:r>
                              <w:r>
                                <w:rPr>
                                  <w:sz w:val="24"/>
                                  <w:szCs w:val="24"/>
                                </w:rPr>
                                <w:t xml:space="preserve"> 30</w:t>
                              </w:r>
                              <w:r w:rsidRPr="0011713F">
                                <w:rPr>
                                  <w:sz w:val="24"/>
                                  <w:szCs w:val="24"/>
                                </w:rPr>
                                <w:t xml:space="preserve"> new permanent jobs. Energix’s</w:t>
                              </w:r>
                              <w:r>
                                <w:rPr>
                                  <w:sz w:val="24"/>
                                  <w:szCs w:val="24"/>
                                </w:rPr>
                                <w:t xml:space="preserve"> planned</w:t>
                              </w:r>
                              <w:r w:rsidRPr="0011713F">
                                <w:rPr>
                                  <w:sz w:val="24"/>
                                  <w:szCs w:val="24"/>
                                </w:rPr>
                                <w:t xml:space="preserve"> management operations in Northern </w:t>
                              </w:r>
                              <w:r>
                                <w:rPr>
                                  <w:sz w:val="24"/>
                                  <w:szCs w:val="24"/>
                                </w:rPr>
                                <w:t>Virginia will create 57 permanent jobs and raise Virginia’s real GDP by $5.5 million when hiring reaches planned levels.</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2834C0F1" wp14:editId="0ADA99B9">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F42A5" w14:textId="26EBF219" w:rsidR="00CF686D" w:rsidRDefault="00BC66B3">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F686D">
                                      <w:rPr>
                                        <w:caps/>
                                        <w:color w:val="4472C4" w:themeColor="accent1"/>
                                        <w:sz w:val="64"/>
                                        <w:szCs w:val="64"/>
                                      </w:rPr>
                                      <w:t>The Economic Impact of Energix’s Investment in Solar Energy Facilities IN the Commonwealth</w:t>
                                    </w:r>
                                    <w:r w:rsidR="00CF686D">
                                      <w:rPr>
                                        <w:caps/>
                                        <w:color w:val="4472C4" w:themeColor="accent1"/>
                                        <w:sz w:val="64"/>
                                        <w:szCs w:val="64"/>
                                      </w:rPr>
                                      <w:br/>
                                      <w:t>of Virginia</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27C738E" w14:textId="572EACA2" w:rsidR="00CF686D" w:rsidRDefault="00CF686D">
                                    <w:pPr>
                                      <w:jc w:val="right"/>
                                      <w:rPr>
                                        <w:smallCaps/>
                                        <w:color w:val="404040" w:themeColor="text1" w:themeTint="BF"/>
                                        <w:sz w:val="36"/>
                                        <w:szCs w:val="36"/>
                                      </w:rPr>
                                    </w:pPr>
                                    <w:r>
                                      <w:rPr>
                                        <w:color w:val="404040" w:themeColor="text1" w:themeTint="BF"/>
                                        <w:sz w:val="36"/>
                                        <w:szCs w:val="36"/>
                                      </w:rPr>
                                      <w:t>March 2020</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2834C0F1"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160F42A5" w14:textId="26EBF219" w:rsidR="00CF686D" w:rsidRDefault="0003780E">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F686D">
                                <w:rPr>
                                  <w:caps/>
                                  <w:color w:val="4472C4" w:themeColor="accent1"/>
                                  <w:sz w:val="64"/>
                                  <w:szCs w:val="64"/>
                                </w:rPr>
                                <w:t>The Economic Impact of Energix’s Investment in Solar Energy Facilities IN the Commonwealth</w:t>
                              </w:r>
                              <w:r w:rsidR="00CF686D">
                                <w:rPr>
                                  <w:caps/>
                                  <w:color w:val="4472C4" w:themeColor="accent1"/>
                                  <w:sz w:val="64"/>
                                  <w:szCs w:val="64"/>
                                </w:rPr>
                                <w:br/>
                                <w:t>of Virginia</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27C738E" w14:textId="572EACA2" w:rsidR="00CF686D" w:rsidRDefault="00CF686D">
                              <w:pPr>
                                <w:jc w:val="right"/>
                                <w:rPr>
                                  <w:smallCaps/>
                                  <w:color w:val="404040" w:themeColor="text1" w:themeTint="BF"/>
                                  <w:sz w:val="36"/>
                                  <w:szCs w:val="36"/>
                                </w:rPr>
                              </w:pPr>
                              <w:r>
                                <w:rPr>
                                  <w:color w:val="404040" w:themeColor="text1" w:themeTint="BF"/>
                                  <w:sz w:val="36"/>
                                  <w:szCs w:val="36"/>
                                </w:rPr>
                                <w:t>March 2020</w:t>
                              </w:r>
                            </w:p>
                          </w:sdtContent>
                        </w:sdt>
                      </w:txbxContent>
                    </v:textbox>
                    <w10:wrap type="square" anchorx="page" anchory="page"/>
                  </v:shape>
                </w:pict>
              </mc:Fallback>
            </mc:AlternateContent>
          </w:r>
        </w:p>
        <w:p w14:paraId="787C6CB3" w14:textId="5CEE39B9" w:rsidR="00B95EBF" w:rsidRDefault="00B95EBF">
          <w:pPr>
            <w:rPr>
              <w:b/>
              <w:bCs/>
              <w:sz w:val="24"/>
              <w:szCs w:val="24"/>
            </w:rPr>
          </w:pPr>
          <w:r>
            <w:rPr>
              <w:b/>
              <w:bCs/>
              <w:sz w:val="24"/>
              <w:szCs w:val="24"/>
            </w:rPr>
            <w:br w:type="page"/>
          </w:r>
        </w:p>
      </w:sdtContent>
    </w:sdt>
    <w:p w14:paraId="59A2183E" w14:textId="76175748" w:rsidR="003A24D7" w:rsidRDefault="00F54218" w:rsidP="003A24D7">
      <w:pPr>
        <w:spacing w:after="120" w:line="240" w:lineRule="auto"/>
        <w:rPr>
          <w:b/>
          <w:bCs/>
          <w:sz w:val="24"/>
          <w:szCs w:val="24"/>
        </w:rPr>
      </w:pPr>
      <w:r>
        <w:rPr>
          <w:b/>
          <w:bCs/>
          <w:sz w:val="24"/>
          <w:szCs w:val="24"/>
        </w:rPr>
        <w:lastRenderedPageBreak/>
        <w:t>Executive Summary</w:t>
      </w:r>
    </w:p>
    <w:p w14:paraId="44AE8FE5" w14:textId="17167B49" w:rsidR="000026DD" w:rsidRPr="003A24D7" w:rsidRDefault="003A24D7" w:rsidP="003A24D7">
      <w:pPr>
        <w:spacing w:after="120" w:line="240" w:lineRule="auto"/>
        <w:jc w:val="both"/>
        <w:rPr>
          <w:b/>
          <w:bCs/>
          <w:sz w:val="24"/>
          <w:szCs w:val="24"/>
        </w:rPr>
      </w:pPr>
      <w:r>
        <w:rPr>
          <w:sz w:val="24"/>
          <w:szCs w:val="24"/>
        </w:rPr>
        <w:tab/>
      </w:r>
      <w:proofErr w:type="spellStart"/>
      <w:r w:rsidR="000026DD" w:rsidRPr="000026DD">
        <w:rPr>
          <w:sz w:val="24"/>
          <w:szCs w:val="24"/>
        </w:rPr>
        <w:t>Energix</w:t>
      </w:r>
      <w:proofErr w:type="spellEnd"/>
      <w:r w:rsidR="000026DD" w:rsidRPr="000026DD">
        <w:rPr>
          <w:sz w:val="24"/>
          <w:szCs w:val="24"/>
        </w:rPr>
        <w:t xml:space="preserve"> Renewable Energies Ltd. </w:t>
      </w:r>
      <w:r w:rsidR="00E25FAE">
        <w:rPr>
          <w:sz w:val="24"/>
          <w:szCs w:val="24"/>
        </w:rPr>
        <w:t>i</w:t>
      </w:r>
      <w:r w:rsidR="000026DD" w:rsidRPr="000026DD">
        <w:rPr>
          <w:sz w:val="24"/>
          <w:szCs w:val="24"/>
        </w:rPr>
        <w:t xml:space="preserve">s one of Israel’s largest renewable energy companies with an estimated market </w:t>
      </w:r>
      <w:r w:rsidR="0038640F">
        <w:rPr>
          <w:sz w:val="24"/>
          <w:szCs w:val="24"/>
        </w:rPr>
        <w:t>valuation</w:t>
      </w:r>
      <w:r w:rsidR="000026DD" w:rsidRPr="000026DD">
        <w:rPr>
          <w:sz w:val="24"/>
          <w:szCs w:val="24"/>
        </w:rPr>
        <w:t xml:space="preserve"> of approximately $</w:t>
      </w:r>
      <w:r w:rsidR="0038640F">
        <w:rPr>
          <w:sz w:val="24"/>
          <w:szCs w:val="24"/>
        </w:rPr>
        <w:t>1.6 b</w:t>
      </w:r>
      <w:r w:rsidR="000026DD" w:rsidRPr="000026DD">
        <w:rPr>
          <w:sz w:val="24"/>
          <w:szCs w:val="24"/>
        </w:rPr>
        <w:t>illion.</w:t>
      </w:r>
      <w:r w:rsidR="00E25FAE">
        <w:rPr>
          <w:sz w:val="24"/>
          <w:szCs w:val="24"/>
        </w:rPr>
        <w:t xml:space="preserve"> </w:t>
      </w:r>
      <w:proofErr w:type="spellStart"/>
      <w:r w:rsidR="000026DD" w:rsidRPr="000026DD">
        <w:rPr>
          <w:sz w:val="24"/>
          <w:szCs w:val="24"/>
        </w:rPr>
        <w:t>Energix’s</w:t>
      </w:r>
      <w:proofErr w:type="spellEnd"/>
      <w:r w:rsidR="000026DD" w:rsidRPr="000026DD">
        <w:rPr>
          <w:sz w:val="24"/>
          <w:szCs w:val="24"/>
        </w:rPr>
        <w:t xml:space="preserve"> </w:t>
      </w:r>
      <w:r w:rsidR="002838F8">
        <w:rPr>
          <w:sz w:val="24"/>
          <w:szCs w:val="24"/>
        </w:rPr>
        <w:t>renewable</w:t>
      </w:r>
      <w:r w:rsidR="000026DD" w:rsidRPr="000026DD">
        <w:rPr>
          <w:sz w:val="24"/>
          <w:szCs w:val="24"/>
        </w:rPr>
        <w:t xml:space="preserve"> energy portfolio includes existing or planned facilities in Israel, Poland, and the United States. Through the end of 2018, </w:t>
      </w:r>
      <w:proofErr w:type="spellStart"/>
      <w:r w:rsidR="000026DD" w:rsidRPr="000026DD">
        <w:rPr>
          <w:sz w:val="24"/>
          <w:szCs w:val="24"/>
        </w:rPr>
        <w:t>Energix’s</w:t>
      </w:r>
      <w:proofErr w:type="spellEnd"/>
      <w:r w:rsidR="000026DD" w:rsidRPr="000026DD">
        <w:rPr>
          <w:sz w:val="24"/>
          <w:szCs w:val="24"/>
        </w:rPr>
        <w:t xml:space="preserve"> solar energy portfolio included </w:t>
      </w:r>
      <w:r w:rsidR="000C4F0F">
        <w:rPr>
          <w:sz w:val="24"/>
          <w:szCs w:val="24"/>
        </w:rPr>
        <w:t>139</w:t>
      </w:r>
      <w:r w:rsidR="000026DD" w:rsidRPr="000026DD">
        <w:rPr>
          <w:sz w:val="24"/>
          <w:szCs w:val="24"/>
        </w:rPr>
        <w:t xml:space="preserve"> Megawatts (MW) of </w:t>
      </w:r>
      <w:r w:rsidR="00832846">
        <w:rPr>
          <w:sz w:val="24"/>
          <w:szCs w:val="24"/>
        </w:rPr>
        <w:t xml:space="preserve">photovoltaic facilities in commercial operation, </w:t>
      </w:r>
      <w:r w:rsidR="000026DD" w:rsidRPr="000026DD">
        <w:rPr>
          <w:sz w:val="24"/>
          <w:szCs w:val="24"/>
        </w:rPr>
        <w:t xml:space="preserve">approximately 150 MW of projects in </w:t>
      </w:r>
      <w:r w:rsidR="00832846">
        <w:rPr>
          <w:sz w:val="24"/>
          <w:szCs w:val="24"/>
        </w:rPr>
        <w:t xml:space="preserve">the </w:t>
      </w:r>
      <w:r w:rsidR="000026DD" w:rsidRPr="000026DD">
        <w:rPr>
          <w:sz w:val="24"/>
          <w:szCs w:val="24"/>
        </w:rPr>
        <w:t>construction or pre-construction</w:t>
      </w:r>
      <w:r w:rsidR="00832846">
        <w:rPr>
          <w:sz w:val="24"/>
          <w:szCs w:val="24"/>
        </w:rPr>
        <w:t xml:space="preserve"> phase</w:t>
      </w:r>
      <w:r w:rsidR="000026DD" w:rsidRPr="000026DD">
        <w:rPr>
          <w:sz w:val="24"/>
          <w:szCs w:val="24"/>
        </w:rPr>
        <w:t>, and over 1,000 MW of projects in development.</w:t>
      </w:r>
      <w:r w:rsidR="00E25FAE">
        <w:rPr>
          <w:sz w:val="24"/>
          <w:szCs w:val="24"/>
        </w:rPr>
        <w:t xml:space="preserve"> </w:t>
      </w:r>
      <w:proofErr w:type="spellStart"/>
      <w:r w:rsidR="00E25FAE" w:rsidRPr="00F54218">
        <w:rPr>
          <w:sz w:val="24"/>
          <w:szCs w:val="24"/>
        </w:rPr>
        <w:t>Energix</w:t>
      </w:r>
      <w:proofErr w:type="spellEnd"/>
      <w:r w:rsidR="0054420D">
        <w:rPr>
          <w:sz w:val="24"/>
          <w:szCs w:val="24"/>
        </w:rPr>
        <w:t xml:space="preserve"> Renewable Energies, th</w:t>
      </w:r>
      <w:r w:rsidR="008B6CE5">
        <w:rPr>
          <w:sz w:val="24"/>
          <w:szCs w:val="24"/>
        </w:rPr>
        <w:t>r</w:t>
      </w:r>
      <w:r w:rsidR="0054420D">
        <w:rPr>
          <w:sz w:val="24"/>
          <w:szCs w:val="24"/>
        </w:rPr>
        <w:t>ough its</w:t>
      </w:r>
      <w:r w:rsidR="00E25FAE" w:rsidRPr="00F54218">
        <w:rPr>
          <w:sz w:val="24"/>
          <w:szCs w:val="24"/>
        </w:rPr>
        <w:t xml:space="preserve"> Virginia based subsidiary</w:t>
      </w:r>
      <w:r w:rsidR="0054420D">
        <w:rPr>
          <w:sz w:val="24"/>
          <w:szCs w:val="24"/>
        </w:rPr>
        <w:t xml:space="preserve">, </w:t>
      </w:r>
      <w:proofErr w:type="spellStart"/>
      <w:r w:rsidR="0054420D">
        <w:rPr>
          <w:sz w:val="24"/>
          <w:szCs w:val="24"/>
        </w:rPr>
        <w:t>Energix</w:t>
      </w:r>
      <w:proofErr w:type="spellEnd"/>
      <w:r w:rsidR="0054420D">
        <w:rPr>
          <w:sz w:val="24"/>
          <w:szCs w:val="24"/>
        </w:rPr>
        <w:t xml:space="preserve"> US L</w:t>
      </w:r>
      <w:r w:rsidR="00D332CB">
        <w:rPr>
          <w:sz w:val="24"/>
          <w:szCs w:val="24"/>
        </w:rPr>
        <w:t>L</w:t>
      </w:r>
      <w:r w:rsidR="0054420D">
        <w:rPr>
          <w:sz w:val="24"/>
          <w:szCs w:val="24"/>
        </w:rPr>
        <w:t>C,</w:t>
      </w:r>
      <w:r w:rsidR="00E25FAE" w:rsidRPr="00F54218">
        <w:rPr>
          <w:sz w:val="24"/>
          <w:szCs w:val="24"/>
        </w:rPr>
        <w:t xml:space="preserve"> plans to invest $130 million in </w:t>
      </w:r>
      <w:r w:rsidR="00E25FAE">
        <w:rPr>
          <w:sz w:val="24"/>
          <w:szCs w:val="24"/>
        </w:rPr>
        <w:t>Virginia by the</w:t>
      </w:r>
      <w:r w:rsidR="008B6CE5">
        <w:rPr>
          <w:sz w:val="24"/>
          <w:szCs w:val="24"/>
        </w:rPr>
        <w:t xml:space="preserve"> end of the</w:t>
      </w:r>
      <w:r w:rsidR="00E25FAE">
        <w:rPr>
          <w:sz w:val="24"/>
          <w:szCs w:val="24"/>
        </w:rPr>
        <w:t xml:space="preserve"> first quarter of </w:t>
      </w:r>
      <w:r w:rsidR="00996EB9">
        <w:rPr>
          <w:sz w:val="24"/>
          <w:szCs w:val="24"/>
        </w:rPr>
        <w:t>2020</w:t>
      </w:r>
      <w:r w:rsidR="00E25FAE">
        <w:rPr>
          <w:sz w:val="24"/>
          <w:szCs w:val="24"/>
        </w:rPr>
        <w:t>.</w:t>
      </w:r>
      <w:r w:rsidR="00110E5E" w:rsidRPr="00110E5E">
        <w:rPr>
          <w:sz w:val="24"/>
          <w:szCs w:val="24"/>
        </w:rPr>
        <w:t xml:space="preserve"> </w:t>
      </w:r>
      <w:proofErr w:type="spellStart"/>
      <w:r w:rsidR="00110E5E">
        <w:rPr>
          <w:sz w:val="24"/>
          <w:szCs w:val="24"/>
        </w:rPr>
        <w:t>Energix</w:t>
      </w:r>
      <w:proofErr w:type="spellEnd"/>
      <w:r w:rsidR="00110E5E">
        <w:rPr>
          <w:sz w:val="24"/>
          <w:szCs w:val="24"/>
        </w:rPr>
        <w:t xml:space="preserve"> is responsible for the design, development, approval, and construction of the partnership’s solar energy production facilities throughout the Commonwealth. </w:t>
      </w:r>
      <w:r w:rsidR="00110E5E">
        <w:rPr>
          <w:rFonts w:cstheme="minorHAnsi"/>
          <w:sz w:val="24"/>
          <w:szCs w:val="24"/>
        </w:rPr>
        <w:t xml:space="preserve">Unlike many other solar facility development firms proposing or constructing facilities in Virginia, </w:t>
      </w:r>
      <w:proofErr w:type="spellStart"/>
      <w:r w:rsidR="00110E5E" w:rsidRPr="00354926">
        <w:rPr>
          <w:rFonts w:cstheme="minorHAnsi"/>
          <w:sz w:val="24"/>
          <w:szCs w:val="24"/>
        </w:rPr>
        <w:t>Energix</w:t>
      </w:r>
      <w:proofErr w:type="spellEnd"/>
      <w:r w:rsidR="00110E5E" w:rsidRPr="00354926">
        <w:rPr>
          <w:rFonts w:cstheme="minorHAnsi"/>
          <w:sz w:val="24"/>
          <w:szCs w:val="24"/>
        </w:rPr>
        <w:t xml:space="preserve"> plans to operate and maintain the solar energy production facilities.</w:t>
      </w:r>
    </w:p>
    <w:p w14:paraId="3DC8FFA5" w14:textId="09B97F99" w:rsidR="00903E22" w:rsidRPr="00110E5E" w:rsidRDefault="00C94EB8" w:rsidP="00903E22">
      <w:pPr>
        <w:spacing w:after="120" w:line="240" w:lineRule="auto"/>
        <w:jc w:val="both"/>
        <w:rPr>
          <w:sz w:val="24"/>
          <w:szCs w:val="24"/>
        </w:rPr>
      </w:pPr>
      <w:r>
        <w:rPr>
          <w:rFonts w:cstheme="minorHAnsi"/>
          <w:sz w:val="24"/>
          <w:szCs w:val="24"/>
        </w:rPr>
        <w:tab/>
      </w:r>
      <w:proofErr w:type="spellStart"/>
      <w:r w:rsidR="00047BEA" w:rsidRPr="000249B8">
        <w:rPr>
          <w:rFonts w:cstheme="minorHAnsi"/>
          <w:sz w:val="24"/>
          <w:szCs w:val="24"/>
        </w:rPr>
        <w:t>Energix</w:t>
      </w:r>
      <w:r w:rsidR="0054420D">
        <w:rPr>
          <w:rFonts w:cstheme="minorHAnsi"/>
          <w:sz w:val="24"/>
          <w:szCs w:val="24"/>
        </w:rPr>
        <w:t>’s</w:t>
      </w:r>
      <w:proofErr w:type="spellEnd"/>
      <w:r w:rsidR="00047BEA" w:rsidRPr="000249B8">
        <w:rPr>
          <w:rFonts w:cstheme="minorHAnsi"/>
          <w:sz w:val="24"/>
          <w:szCs w:val="24"/>
        </w:rPr>
        <w:t xml:space="preserve"> decision to locate </w:t>
      </w:r>
      <w:r w:rsidR="003938F0">
        <w:rPr>
          <w:rFonts w:cstheme="minorHAnsi"/>
          <w:sz w:val="24"/>
          <w:szCs w:val="24"/>
        </w:rPr>
        <w:t xml:space="preserve">and invest in </w:t>
      </w:r>
      <w:r w:rsidR="00047BEA" w:rsidRPr="000249B8">
        <w:rPr>
          <w:rFonts w:cstheme="minorHAnsi"/>
          <w:sz w:val="24"/>
          <w:szCs w:val="24"/>
        </w:rPr>
        <w:t xml:space="preserve">Virginia </w:t>
      </w:r>
      <w:r w:rsidR="003938F0">
        <w:rPr>
          <w:rFonts w:cstheme="minorHAnsi"/>
          <w:sz w:val="24"/>
          <w:szCs w:val="24"/>
        </w:rPr>
        <w:t>was influenced by market and regulatory conditions in the Commonwealth, to include:</w:t>
      </w:r>
      <w:r w:rsidR="00047BEA">
        <w:rPr>
          <w:rFonts w:cstheme="minorHAnsi"/>
          <w:sz w:val="24"/>
          <w:szCs w:val="24"/>
        </w:rPr>
        <w:t xml:space="preserve"> a</w:t>
      </w:r>
      <w:r w:rsidR="00047BEA" w:rsidRPr="000249B8">
        <w:rPr>
          <w:rFonts w:cstheme="minorHAnsi"/>
          <w:sz w:val="24"/>
          <w:szCs w:val="24"/>
        </w:rPr>
        <w:t xml:space="preserve">n emerging market for solar power generation, </w:t>
      </w:r>
      <w:r w:rsidR="00047BEA">
        <w:rPr>
          <w:rFonts w:cstheme="minorHAnsi"/>
          <w:sz w:val="24"/>
          <w:szCs w:val="24"/>
        </w:rPr>
        <w:t>a</w:t>
      </w:r>
      <w:r w:rsidR="00047BEA" w:rsidRPr="000249B8">
        <w:rPr>
          <w:rFonts w:cstheme="minorHAnsi"/>
          <w:sz w:val="24"/>
          <w:szCs w:val="24"/>
        </w:rPr>
        <w:t xml:space="preserve"> significant existing and growing demand for power from data centers, </w:t>
      </w:r>
      <w:r w:rsidR="00047BEA">
        <w:rPr>
          <w:rFonts w:cstheme="minorHAnsi"/>
          <w:sz w:val="24"/>
          <w:szCs w:val="24"/>
        </w:rPr>
        <w:t>e</w:t>
      </w:r>
      <w:r w:rsidR="00047BEA" w:rsidRPr="000249B8">
        <w:rPr>
          <w:rFonts w:cstheme="minorHAnsi"/>
          <w:sz w:val="24"/>
          <w:szCs w:val="24"/>
        </w:rPr>
        <w:t>xisting legislation supporting the construction and operation of solar power generation projects, and</w:t>
      </w:r>
      <w:r w:rsidR="00047BEA">
        <w:rPr>
          <w:rFonts w:cstheme="minorHAnsi"/>
          <w:sz w:val="24"/>
          <w:szCs w:val="24"/>
        </w:rPr>
        <w:t xml:space="preserve"> a </w:t>
      </w:r>
      <w:r w:rsidR="00047BEA" w:rsidRPr="000249B8">
        <w:rPr>
          <w:rFonts w:cstheme="minorHAnsi"/>
          <w:sz w:val="24"/>
          <w:szCs w:val="24"/>
        </w:rPr>
        <w:t>deregulated market that increases the return on investment to solar power projects.</w:t>
      </w:r>
      <w:r w:rsidR="00CE666F">
        <w:rPr>
          <w:rFonts w:cstheme="minorHAnsi"/>
          <w:sz w:val="24"/>
          <w:szCs w:val="24"/>
        </w:rPr>
        <w:t xml:space="preserve"> </w:t>
      </w:r>
      <w:proofErr w:type="spellStart"/>
      <w:r w:rsidR="00CE666F">
        <w:rPr>
          <w:rFonts w:cstheme="minorHAnsi"/>
          <w:sz w:val="24"/>
          <w:szCs w:val="24"/>
        </w:rPr>
        <w:t>Energix</w:t>
      </w:r>
      <w:proofErr w:type="spellEnd"/>
      <w:r w:rsidR="00CE666F">
        <w:rPr>
          <w:rFonts w:cstheme="minorHAnsi"/>
          <w:sz w:val="24"/>
          <w:szCs w:val="24"/>
        </w:rPr>
        <w:t xml:space="preserve"> specifically </w:t>
      </w:r>
      <w:r>
        <w:rPr>
          <w:rFonts w:cstheme="minorHAnsi"/>
          <w:sz w:val="24"/>
          <w:szCs w:val="24"/>
        </w:rPr>
        <w:t>credits the Virginia Israel Advisory Board (VIAB) for introducing the firm to Virginia</w:t>
      </w:r>
      <w:r w:rsidR="00CE666F">
        <w:rPr>
          <w:rFonts w:cstheme="minorHAnsi"/>
          <w:sz w:val="24"/>
          <w:szCs w:val="24"/>
        </w:rPr>
        <w:t xml:space="preserve">, </w:t>
      </w:r>
      <w:r>
        <w:rPr>
          <w:rFonts w:cstheme="minorHAnsi"/>
          <w:sz w:val="24"/>
          <w:szCs w:val="24"/>
        </w:rPr>
        <w:t>connect</w:t>
      </w:r>
      <w:r w:rsidR="00CE666F">
        <w:rPr>
          <w:rFonts w:cstheme="minorHAnsi"/>
          <w:sz w:val="24"/>
          <w:szCs w:val="24"/>
        </w:rPr>
        <w:t>ing</w:t>
      </w:r>
      <w:r>
        <w:rPr>
          <w:rFonts w:cstheme="minorHAnsi"/>
          <w:sz w:val="24"/>
          <w:szCs w:val="24"/>
        </w:rPr>
        <w:t xml:space="preserve"> </w:t>
      </w:r>
      <w:proofErr w:type="spellStart"/>
      <w:r>
        <w:rPr>
          <w:rFonts w:cstheme="minorHAnsi"/>
          <w:sz w:val="24"/>
          <w:szCs w:val="24"/>
        </w:rPr>
        <w:t>Energix</w:t>
      </w:r>
      <w:proofErr w:type="spellEnd"/>
      <w:r>
        <w:rPr>
          <w:rFonts w:cstheme="minorHAnsi"/>
          <w:sz w:val="24"/>
          <w:szCs w:val="24"/>
        </w:rPr>
        <w:t xml:space="preserve"> </w:t>
      </w:r>
      <w:r w:rsidR="00CE666F">
        <w:rPr>
          <w:rFonts w:cstheme="minorHAnsi"/>
          <w:sz w:val="24"/>
          <w:szCs w:val="24"/>
        </w:rPr>
        <w:t xml:space="preserve">with </w:t>
      </w:r>
      <w:r>
        <w:rPr>
          <w:rFonts w:cstheme="minorHAnsi"/>
          <w:sz w:val="24"/>
          <w:szCs w:val="24"/>
        </w:rPr>
        <w:t xml:space="preserve">senior leaders in </w:t>
      </w:r>
      <w:r w:rsidR="00CE666F">
        <w:rPr>
          <w:rFonts w:cstheme="minorHAnsi"/>
          <w:sz w:val="24"/>
          <w:szCs w:val="24"/>
        </w:rPr>
        <w:t>the Commonwealth</w:t>
      </w:r>
      <w:r>
        <w:rPr>
          <w:rFonts w:cstheme="minorHAnsi"/>
          <w:sz w:val="24"/>
          <w:szCs w:val="24"/>
        </w:rPr>
        <w:t>, broker</w:t>
      </w:r>
      <w:r w:rsidR="00CE666F">
        <w:rPr>
          <w:rFonts w:cstheme="minorHAnsi"/>
          <w:sz w:val="24"/>
          <w:szCs w:val="24"/>
        </w:rPr>
        <w:t>ing</w:t>
      </w:r>
      <w:r>
        <w:rPr>
          <w:rFonts w:cstheme="minorHAnsi"/>
          <w:sz w:val="24"/>
          <w:szCs w:val="24"/>
        </w:rPr>
        <w:t xml:space="preserve"> entries with private and public entities throughout Virginia, and assist</w:t>
      </w:r>
      <w:r w:rsidR="00CE666F">
        <w:rPr>
          <w:rFonts w:cstheme="minorHAnsi"/>
          <w:sz w:val="24"/>
          <w:szCs w:val="24"/>
        </w:rPr>
        <w:t>ing</w:t>
      </w:r>
      <w:r>
        <w:rPr>
          <w:rFonts w:cstheme="minorHAnsi"/>
          <w:sz w:val="24"/>
          <w:szCs w:val="24"/>
        </w:rPr>
        <w:t xml:space="preserve"> in the identification of potential projects. </w:t>
      </w:r>
      <w:proofErr w:type="spellStart"/>
      <w:r w:rsidR="00CE666F">
        <w:rPr>
          <w:rFonts w:cstheme="minorHAnsi"/>
          <w:sz w:val="24"/>
          <w:szCs w:val="24"/>
        </w:rPr>
        <w:t>Energix</w:t>
      </w:r>
      <w:proofErr w:type="spellEnd"/>
      <w:r w:rsidR="00CE666F">
        <w:rPr>
          <w:rFonts w:cstheme="minorHAnsi"/>
          <w:sz w:val="24"/>
          <w:szCs w:val="24"/>
        </w:rPr>
        <w:t xml:space="preserve"> noted that </w:t>
      </w:r>
      <w:r>
        <w:rPr>
          <w:rFonts w:cstheme="minorHAnsi"/>
          <w:sz w:val="24"/>
          <w:szCs w:val="24"/>
        </w:rPr>
        <w:t xml:space="preserve">VIAB facilitated the partnership between </w:t>
      </w:r>
      <w:proofErr w:type="spellStart"/>
      <w:r>
        <w:rPr>
          <w:rFonts w:cstheme="minorHAnsi"/>
          <w:sz w:val="24"/>
          <w:szCs w:val="24"/>
        </w:rPr>
        <w:t>Energix</w:t>
      </w:r>
      <w:proofErr w:type="spellEnd"/>
      <w:r>
        <w:rPr>
          <w:rFonts w:cstheme="minorHAnsi"/>
          <w:sz w:val="24"/>
          <w:szCs w:val="24"/>
        </w:rPr>
        <w:t xml:space="preserve"> and its US partner, Caden Energy. </w:t>
      </w:r>
      <w:r w:rsidR="00610AE9">
        <w:rPr>
          <w:sz w:val="24"/>
          <w:szCs w:val="24"/>
        </w:rPr>
        <w:tab/>
      </w:r>
    </w:p>
    <w:p w14:paraId="167B68CB" w14:textId="4C1AE42E" w:rsidR="005E1DA7" w:rsidRDefault="00610AE9" w:rsidP="000026DD">
      <w:pPr>
        <w:spacing w:after="120" w:line="240" w:lineRule="auto"/>
        <w:jc w:val="both"/>
        <w:rPr>
          <w:sz w:val="24"/>
          <w:szCs w:val="24"/>
        </w:rPr>
      </w:pPr>
      <w:r>
        <w:rPr>
          <w:sz w:val="24"/>
          <w:szCs w:val="24"/>
        </w:rPr>
        <w:tab/>
      </w:r>
      <w:proofErr w:type="spellStart"/>
      <w:r w:rsidR="00D42C51">
        <w:rPr>
          <w:sz w:val="24"/>
          <w:szCs w:val="24"/>
        </w:rPr>
        <w:t>Energix’s</w:t>
      </w:r>
      <w:proofErr w:type="spellEnd"/>
      <w:r w:rsidR="00110E5E">
        <w:rPr>
          <w:sz w:val="24"/>
          <w:szCs w:val="24"/>
        </w:rPr>
        <w:t xml:space="preserve"> planned</w:t>
      </w:r>
      <w:r w:rsidR="00D42C51">
        <w:rPr>
          <w:sz w:val="24"/>
          <w:szCs w:val="24"/>
        </w:rPr>
        <w:t xml:space="preserve"> investment of $130 million in the design, development, and construction of solar power generating facilities is projected to be complete at the end of the first quarter of 2020</w:t>
      </w:r>
      <w:r w:rsidRPr="00F54218">
        <w:rPr>
          <w:sz w:val="24"/>
          <w:szCs w:val="24"/>
        </w:rPr>
        <w:t xml:space="preserve">. </w:t>
      </w:r>
      <w:r w:rsidR="00D53048">
        <w:rPr>
          <w:sz w:val="24"/>
          <w:szCs w:val="24"/>
        </w:rPr>
        <w:t xml:space="preserve">The pre-construction and construction phases of </w:t>
      </w:r>
      <w:proofErr w:type="spellStart"/>
      <w:r w:rsidR="00D53048">
        <w:rPr>
          <w:sz w:val="24"/>
          <w:szCs w:val="24"/>
        </w:rPr>
        <w:t>Energix’s</w:t>
      </w:r>
      <w:proofErr w:type="spellEnd"/>
      <w:r w:rsidR="00D53048">
        <w:rPr>
          <w:sz w:val="24"/>
          <w:szCs w:val="24"/>
        </w:rPr>
        <w:t xml:space="preserve"> solar power facility projects will generate jobs in the construction sector</w:t>
      </w:r>
      <w:r w:rsidR="00BB5D84">
        <w:rPr>
          <w:sz w:val="24"/>
          <w:szCs w:val="24"/>
        </w:rPr>
        <w:t xml:space="preserve"> in Virginia</w:t>
      </w:r>
      <w:r w:rsidR="00D53048">
        <w:rPr>
          <w:sz w:val="24"/>
          <w:szCs w:val="24"/>
        </w:rPr>
        <w:t>.</w:t>
      </w:r>
      <w:r w:rsidR="00F933D7">
        <w:rPr>
          <w:sz w:val="24"/>
          <w:szCs w:val="24"/>
        </w:rPr>
        <w:t xml:space="preserve"> As </w:t>
      </w:r>
      <w:proofErr w:type="spellStart"/>
      <w:r w:rsidR="00F933D7">
        <w:rPr>
          <w:sz w:val="24"/>
          <w:szCs w:val="24"/>
        </w:rPr>
        <w:t>Energix</w:t>
      </w:r>
      <w:proofErr w:type="spellEnd"/>
      <w:r w:rsidR="00F933D7">
        <w:rPr>
          <w:sz w:val="24"/>
          <w:szCs w:val="24"/>
        </w:rPr>
        <w:t xml:space="preserve"> plans to operate and maintain its facilities in the post-construction phase, it is </w:t>
      </w:r>
      <w:r w:rsidR="00BB5D84">
        <w:rPr>
          <w:sz w:val="24"/>
          <w:szCs w:val="24"/>
        </w:rPr>
        <w:t>expanding i</w:t>
      </w:r>
      <w:r w:rsidR="00F933D7">
        <w:rPr>
          <w:sz w:val="24"/>
          <w:szCs w:val="24"/>
        </w:rPr>
        <w:t xml:space="preserve">ts existing management team in Northern Virginia and will add permanent jobs to operate </w:t>
      </w:r>
      <w:r w:rsidR="005E1DA7">
        <w:rPr>
          <w:sz w:val="24"/>
          <w:szCs w:val="24"/>
        </w:rPr>
        <w:t xml:space="preserve">and maintain the facilities once construction is complete. </w:t>
      </w:r>
      <w:proofErr w:type="spellStart"/>
      <w:r w:rsidR="005E1DA7">
        <w:rPr>
          <w:sz w:val="24"/>
          <w:szCs w:val="24"/>
        </w:rPr>
        <w:t>Energix’s</w:t>
      </w:r>
      <w:proofErr w:type="spellEnd"/>
      <w:r w:rsidR="005E1DA7">
        <w:rPr>
          <w:sz w:val="24"/>
          <w:szCs w:val="24"/>
        </w:rPr>
        <w:t xml:space="preserve"> management </w:t>
      </w:r>
      <w:r w:rsidR="00A74779">
        <w:rPr>
          <w:sz w:val="24"/>
          <w:szCs w:val="24"/>
        </w:rPr>
        <w:t>positions are expected to pay more than $100,000 annually and it is reasonable to expect that its solar facility operators and maintainers will</w:t>
      </w:r>
      <w:r w:rsidR="00A11477">
        <w:rPr>
          <w:sz w:val="24"/>
          <w:szCs w:val="24"/>
        </w:rPr>
        <w:t>, on average,</w:t>
      </w:r>
      <w:r w:rsidR="00A74779">
        <w:rPr>
          <w:sz w:val="24"/>
          <w:szCs w:val="24"/>
        </w:rPr>
        <w:t xml:space="preserve"> </w:t>
      </w:r>
      <w:r w:rsidR="00A11477">
        <w:rPr>
          <w:sz w:val="24"/>
          <w:szCs w:val="24"/>
        </w:rPr>
        <w:t>earn higher than average salaries.</w:t>
      </w:r>
      <w:r w:rsidR="00D42C51">
        <w:rPr>
          <w:sz w:val="24"/>
          <w:szCs w:val="24"/>
        </w:rPr>
        <w:t xml:space="preserve"> </w:t>
      </w:r>
      <w:proofErr w:type="spellStart"/>
      <w:r w:rsidR="00D42C51">
        <w:rPr>
          <w:sz w:val="24"/>
          <w:szCs w:val="24"/>
        </w:rPr>
        <w:t>Energix</w:t>
      </w:r>
      <w:proofErr w:type="spellEnd"/>
      <w:r w:rsidR="00D42C51">
        <w:rPr>
          <w:sz w:val="24"/>
          <w:szCs w:val="24"/>
        </w:rPr>
        <w:t xml:space="preserve"> is also seeking approval for additional project</w:t>
      </w:r>
      <w:r w:rsidR="00263471">
        <w:rPr>
          <w:sz w:val="24"/>
          <w:szCs w:val="24"/>
        </w:rPr>
        <w:t>s</w:t>
      </w:r>
      <w:r w:rsidR="00D42C51">
        <w:rPr>
          <w:sz w:val="24"/>
          <w:szCs w:val="24"/>
        </w:rPr>
        <w:t xml:space="preserve"> that, in time, </w:t>
      </w:r>
      <w:r w:rsidR="00263471">
        <w:rPr>
          <w:sz w:val="24"/>
          <w:szCs w:val="24"/>
        </w:rPr>
        <w:t xml:space="preserve">will </w:t>
      </w:r>
      <w:r w:rsidR="00D42C51">
        <w:rPr>
          <w:sz w:val="24"/>
          <w:szCs w:val="24"/>
        </w:rPr>
        <w:t>add to its economic impact in the Commonwealth.</w:t>
      </w:r>
    </w:p>
    <w:p w14:paraId="4EE65960" w14:textId="74891135" w:rsidR="00110E5E" w:rsidRDefault="00A90648" w:rsidP="009638C7">
      <w:pPr>
        <w:spacing w:after="120" w:line="240" w:lineRule="auto"/>
        <w:jc w:val="both"/>
        <w:rPr>
          <w:rFonts w:cstheme="minorHAnsi"/>
          <w:b/>
          <w:bCs/>
          <w:sz w:val="24"/>
          <w:szCs w:val="24"/>
        </w:rPr>
      </w:pPr>
      <w:r>
        <w:rPr>
          <w:sz w:val="24"/>
          <w:szCs w:val="24"/>
        </w:rPr>
        <w:tab/>
        <w:t xml:space="preserve">We estimate that </w:t>
      </w:r>
      <w:proofErr w:type="spellStart"/>
      <w:r>
        <w:rPr>
          <w:sz w:val="24"/>
          <w:szCs w:val="24"/>
        </w:rPr>
        <w:t>Energix’s</w:t>
      </w:r>
      <w:proofErr w:type="spellEnd"/>
      <w:r w:rsidR="00110E5E">
        <w:rPr>
          <w:sz w:val="24"/>
          <w:szCs w:val="24"/>
        </w:rPr>
        <w:t xml:space="preserve"> planned</w:t>
      </w:r>
      <w:r>
        <w:rPr>
          <w:sz w:val="24"/>
          <w:szCs w:val="24"/>
        </w:rPr>
        <w:t xml:space="preserve"> investment of $130 million in Virginia by the end of the first quarter of 2020 will raise Virginia’s real (inflation-adjusted) Gross Domestic Product by $</w:t>
      </w:r>
      <w:r w:rsidR="001F5ECB">
        <w:rPr>
          <w:sz w:val="24"/>
          <w:szCs w:val="24"/>
        </w:rPr>
        <w:t>33.2</w:t>
      </w:r>
      <w:r>
        <w:rPr>
          <w:sz w:val="24"/>
          <w:szCs w:val="24"/>
        </w:rPr>
        <w:t xml:space="preserve"> million by the end of 2020. </w:t>
      </w:r>
      <w:r w:rsidRPr="00CB634A">
        <w:rPr>
          <w:sz w:val="24"/>
          <w:szCs w:val="24"/>
        </w:rPr>
        <w:t xml:space="preserve">In addition, the </w:t>
      </w:r>
      <w:r>
        <w:rPr>
          <w:sz w:val="24"/>
          <w:szCs w:val="24"/>
        </w:rPr>
        <w:t>investment</w:t>
      </w:r>
      <w:r w:rsidRPr="00CB634A">
        <w:rPr>
          <w:sz w:val="24"/>
          <w:szCs w:val="24"/>
        </w:rPr>
        <w:t xml:space="preserve"> phase of </w:t>
      </w:r>
      <w:proofErr w:type="spellStart"/>
      <w:r w:rsidRPr="00CB634A">
        <w:rPr>
          <w:sz w:val="24"/>
          <w:szCs w:val="24"/>
        </w:rPr>
        <w:t>Energix’s</w:t>
      </w:r>
      <w:proofErr w:type="spellEnd"/>
      <w:r w:rsidRPr="00CB634A">
        <w:rPr>
          <w:sz w:val="24"/>
          <w:szCs w:val="24"/>
        </w:rPr>
        <w:t xml:space="preserve"> solar facilities will increase private nonfarm payrolls (jobs)</w:t>
      </w:r>
      <w:r>
        <w:rPr>
          <w:sz w:val="24"/>
          <w:szCs w:val="24"/>
        </w:rPr>
        <w:t xml:space="preserve"> in Virginia</w:t>
      </w:r>
      <w:r w:rsidRPr="00CB634A">
        <w:rPr>
          <w:sz w:val="24"/>
          <w:szCs w:val="24"/>
        </w:rPr>
        <w:t xml:space="preserve"> by 97 in 2019 and 219 in 2020</w:t>
      </w:r>
      <w:r>
        <w:rPr>
          <w:sz w:val="24"/>
          <w:szCs w:val="24"/>
        </w:rPr>
        <w:t>, mainly due to an increase in construction employment</w:t>
      </w:r>
      <w:r w:rsidRPr="00CB634A">
        <w:rPr>
          <w:sz w:val="24"/>
          <w:szCs w:val="24"/>
        </w:rPr>
        <w:t>.</w:t>
      </w:r>
      <w:r>
        <w:rPr>
          <w:sz w:val="24"/>
          <w:szCs w:val="24"/>
        </w:rPr>
        <w:t xml:space="preserve"> </w:t>
      </w:r>
      <w:r w:rsidR="001F5ECB">
        <w:rPr>
          <w:sz w:val="24"/>
          <w:szCs w:val="24"/>
        </w:rPr>
        <w:t xml:space="preserve">We estimate </w:t>
      </w:r>
      <w:bookmarkStart w:id="1" w:name="_Hlk24285308"/>
      <w:proofErr w:type="spellStart"/>
      <w:r w:rsidR="002B1BB4" w:rsidRPr="00FC6FB8">
        <w:rPr>
          <w:sz w:val="24"/>
          <w:szCs w:val="24"/>
        </w:rPr>
        <w:t>Energix’s</w:t>
      </w:r>
      <w:proofErr w:type="spellEnd"/>
      <w:r w:rsidR="002B1BB4" w:rsidRPr="00FC6FB8">
        <w:rPr>
          <w:sz w:val="24"/>
          <w:szCs w:val="24"/>
        </w:rPr>
        <w:t xml:space="preserve"> </w:t>
      </w:r>
      <w:r w:rsidR="00110E5E">
        <w:rPr>
          <w:sz w:val="24"/>
          <w:szCs w:val="24"/>
        </w:rPr>
        <w:t>planned</w:t>
      </w:r>
      <w:r w:rsidR="00D24520">
        <w:rPr>
          <w:sz w:val="24"/>
          <w:szCs w:val="24"/>
        </w:rPr>
        <w:t xml:space="preserve"> investment</w:t>
      </w:r>
      <w:r w:rsidR="001F5ECB">
        <w:rPr>
          <w:sz w:val="24"/>
          <w:szCs w:val="24"/>
        </w:rPr>
        <w:t xml:space="preserve"> of $130 million in</w:t>
      </w:r>
      <w:r w:rsidR="000D2B1B">
        <w:rPr>
          <w:sz w:val="24"/>
          <w:szCs w:val="24"/>
        </w:rPr>
        <w:t xml:space="preserve"> 2019 and</w:t>
      </w:r>
      <w:r w:rsidR="001F5ECB">
        <w:rPr>
          <w:sz w:val="24"/>
          <w:szCs w:val="24"/>
        </w:rPr>
        <w:t xml:space="preserve"> 2020,</w:t>
      </w:r>
      <w:r w:rsidR="00D24520">
        <w:rPr>
          <w:sz w:val="24"/>
          <w:szCs w:val="24"/>
        </w:rPr>
        <w:t xml:space="preserve"> and</w:t>
      </w:r>
      <w:r w:rsidR="001F5ECB">
        <w:rPr>
          <w:sz w:val="24"/>
          <w:szCs w:val="24"/>
        </w:rPr>
        <w:t xml:space="preserve"> the</w:t>
      </w:r>
      <w:r w:rsidR="00110E5E">
        <w:rPr>
          <w:sz w:val="24"/>
          <w:szCs w:val="24"/>
        </w:rPr>
        <w:t xml:space="preserve"> </w:t>
      </w:r>
      <w:r>
        <w:rPr>
          <w:sz w:val="24"/>
          <w:szCs w:val="24"/>
        </w:rPr>
        <w:t>operation</w:t>
      </w:r>
      <w:r w:rsidR="00D24520">
        <w:rPr>
          <w:sz w:val="24"/>
          <w:szCs w:val="24"/>
        </w:rPr>
        <w:t xml:space="preserve"> of its’ solar farm facilities</w:t>
      </w:r>
      <w:r>
        <w:rPr>
          <w:sz w:val="24"/>
          <w:szCs w:val="24"/>
        </w:rPr>
        <w:t xml:space="preserve"> in the Commonwealth</w:t>
      </w:r>
      <w:r w:rsidR="001F5ECB">
        <w:rPr>
          <w:sz w:val="24"/>
          <w:szCs w:val="24"/>
        </w:rPr>
        <w:t xml:space="preserve"> through 2025</w:t>
      </w:r>
      <w:r w:rsidR="002B1BB4" w:rsidRPr="00FC6FB8">
        <w:rPr>
          <w:sz w:val="24"/>
          <w:szCs w:val="24"/>
        </w:rPr>
        <w:t xml:space="preserve"> wi</w:t>
      </w:r>
      <w:r w:rsidR="008B6CE5">
        <w:rPr>
          <w:sz w:val="24"/>
          <w:szCs w:val="24"/>
        </w:rPr>
        <w:t xml:space="preserve">ll </w:t>
      </w:r>
      <w:r w:rsidR="002B1BB4" w:rsidRPr="00FC6FB8">
        <w:rPr>
          <w:sz w:val="24"/>
          <w:szCs w:val="24"/>
        </w:rPr>
        <w:t xml:space="preserve">increase </w:t>
      </w:r>
      <w:r w:rsidR="0002308E" w:rsidRPr="00FC6FB8">
        <w:rPr>
          <w:sz w:val="24"/>
          <w:szCs w:val="24"/>
        </w:rPr>
        <w:t xml:space="preserve">real </w:t>
      </w:r>
      <w:r w:rsidR="0011713F">
        <w:rPr>
          <w:sz w:val="24"/>
          <w:szCs w:val="24"/>
        </w:rPr>
        <w:t xml:space="preserve">GDP </w:t>
      </w:r>
      <w:r w:rsidR="002B1BB4" w:rsidRPr="00FC6FB8">
        <w:rPr>
          <w:sz w:val="24"/>
          <w:szCs w:val="24"/>
        </w:rPr>
        <w:t>in Virginia by</w:t>
      </w:r>
      <w:r w:rsidR="00110E5E">
        <w:rPr>
          <w:sz w:val="24"/>
          <w:szCs w:val="24"/>
        </w:rPr>
        <w:t xml:space="preserve"> a total of</w:t>
      </w:r>
      <w:r w:rsidR="002B1BB4" w:rsidRPr="00FC6FB8">
        <w:rPr>
          <w:sz w:val="24"/>
          <w:szCs w:val="24"/>
        </w:rPr>
        <w:t xml:space="preserve"> </w:t>
      </w:r>
      <w:r w:rsidR="009B31F6" w:rsidRPr="00FC6FB8">
        <w:rPr>
          <w:sz w:val="24"/>
          <w:szCs w:val="24"/>
        </w:rPr>
        <w:t>$4</w:t>
      </w:r>
      <w:r w:rsidR="005D639C">
        <w:rPr>
          <w:sz w:val="24"/>
          <w:szCs w:val="24"/>
        </w:rPr>
        <w:t>8.7</w:t>
      </w:r>
      <w:r w:rsidR="009B31F6" w:rsidRPr="00FC6FB8">
        <w:rPr>
          <w:sz w:val="24"/>
          <w:szCs w:val="24"/>
        </w:rPr>
        <w:t xml:space="preserve"> million</w:t>
      </w:r>
      <w:r w:rsidR="000D2B1B">
        <w:rPr>
          <w:sz w:val="24"/>
          <w:szCs w:val="24"/>
        </w:rPr>
        <w:t xml:space="preserve"> from 2019 to 2025</w:t>
      </w:r>
      <w:r>
        <w:rPr>
          <w:sz w:val="24"/>
          <w:szCs w:val="24"/>
        </w:rPr>
        <w:t xml:space="preserve"> and create </w:t>
      </w:r>
      <w:r w:rsidR="005D639C">
        <w:rPr>
          <w:sz w:val="24"/>
          <w:szCs w:val="24"/>
        </w:rPr>
        <w:t>an average of 30</w:t>
      </w:r>
      <w:r w:rsidR="00CB634A">
        <w:rPr>
          <w:sz w:val="24"/>
          <w:szCs w:val="24"/>
        </w:rPr>
        <w:t xml:space="preserve"> new </w:t>
      </w:r>
      <w:r w:rsidR="00F54218" w:rsidRPr="00CB634A">
        <w:rPr>
          <w:sz w:val="24"/>
          <w:szCs w:val="24"/>
        </w:rPr>
        <w:t>permanent jobs.</w:t>
      </w:r>
      <w:r w:rsidR="00F864D8">
        <w:rPr>
          <w:sz w:val="24"/>
          <w:szCs w:val="24"/>
        </w:rPr>
        <w:t xml:space="preserve"> </w:t>
      </w:r>
      <w:proofErr w:type="spellStart"/>
      <w:r w:rsidR="00F864D8">
        <w:rPr>
          <w:sz w:val="24"/>
          <w:szCs w:val="24"/>
        </w:rPr>
        <w:t>Energix’s</w:t>
      </w:r>
      <w:proofErr w:type="spellEnd"/>
      <w:r w:rsidR="00F864D8">
        <w:rPr>
          <w:sz w:val="24"/>
          <w:szCs w:val="24"/>
        </w:rPr>
        <w:t xml:space="preserve"> management operations in Northern Virginia will add an additional </w:t>
      </w:r>
      <w:r w:rsidR="00606ACC">
        <w:rPr>
          <w:sz w:val="24"/>
          <w:szCs w:val="24"/>
        </w:rPr>
        <w:t>57 permanent jobs and raise real GDP by an additional $5.5 million in 2025</w:t>
      </w:r>
      <w:r w:rsidR="00110E5E">
        <w:rPr>
          <w:sz w:val="24"/>
          <w:szCs w:val="24"/>
        </w:rPr>
        <w:t xml:space="preserve"> alone</w:t>
      </w:r>
      <w:r w:rsidR="00F864D8">
        <w:rPr>
          <w:sz w:val="24"/>
          <w:szCs w:val="24"/>
        </w:rPr>
        <w:t>.</w:t>
      </w:r>
      <w:r w:rsidR="000D2B1B">
        <w:rPr>
          <w:sz w:val="24"/>
          <w:szCs w:val="24"/>
        </w:rPr>
        <w:t xml:space="preserve"> </w:t>
      </w:r>
      <w:r w:rsidR="009638C7">
        <w:rPr>
          <w:sz w:val="24"/>
          <w:szCs w:val="24"/>
        </w:rPr>
        <w:t xml:space="preserve">Additional investments by </w:t>
      </w:r>
      <w:proofErr w:type="spellStart"/>
      <w:r w:rsidR="009638C7">
        <w:rPr>
          <w:sz w:val="24"/>
          <w:szCs w:val="24"/>
        </w:rPr>
        <w:t>Energix</w:t>
      </w:r>
      <w:proofErr w:type="spellEnd"/>
      <w:r w:rsidR="009638C7">
        <w:rPr>
          <w:sz w:val="24"/>
          <w:szCs w:val="24"/>
        </w:rPr>
        <w:t xml:space="preserve"> in the Commonwealth would undoubtedly increase the estimated economic impact.</w:t>
      </w:r>
      <w:bookmarkEnd w:id="1"/>
    </w:p>
    <w:p w14:paraId="6D63F2DE" w14:textId="0916E89C" w:rsidR="003A24D7" w:rsidRPr="002838F8" w:rsidRDefault="002C7DF0" w:rsidP="001F317B">
      <w:pPr>
        <w:spacing w:after="120" w:line="480" w:lineRule="auto"/>
        <w:jc w:val="both"/>
        <w:rPr>
          <w:rFonts w:cstheme="minorHAnsi"/>
          <w:b/>
          <w:bCs/>
          <w:sz w:val="24"/>
          <w:szCs w:val="24"/>
        </w:rPr>
      </w:pPr>
      <w:r w:rsidRPr="002838F8">
        <w:rPr>
          <w:rFonts w:cstheme="minorHAnsi"/>
          <w:b/>
          <w:bCs/>
          <w:sz w:val="24"/>
          <w:szCs w:val="24"/>
        </w:rPr>
        <w:lastRenderedPageBreak/>
        <w:t xml:space="preserve">1. </w:t>
      </w:r>
      <w:r w:rsidRPr="002838F8">
        <w:rPr>
          <w:rFonts w:cstheme="minorHAnsi"/>
          <w:b/>
          <w:bCs/>
          <w:sz w:val="24"/>
          <w:szCs w:val="24"/>
        </w:rPr>
        <w:tab/>
        <w:t>Introduction</w:t>
      </w:r>
    </w:p>
    <w:p w14:paraId="40E3358E" w14:textId="3C700A01" w:rsidR="00386E7F" w:rsidRDefault="00386E7F" w:rsidP="001F317B">
      <w:pPr>
        <w:spacing w:after="120" w:line="480" w:lineRule="auto"/>
        <w:jc w:val="both"/>
        <w:rPr>
          <w:sz w:val="24"/>
          <w:szCs w:val="24"/>
        </w:rPr>
      </w:pPr>
      <w:r>
        <w:rPr>
          <w:sz w:val="24"/>
          <w:szCs w:val="24"/>
        </w:rPr>
        <w:tab/>
      </w:r>
      <w:proofErr w:type="spellStart"/>
      <w:r w:rsidRPr="000026DD">
        <w:rPr>
          <w:sz w:val="24"/>
          <w:szCs w:val="24"/>
        </w:rPr>
        <w:t>Energix</w:t>
      </w:r>
      <w:proofErr w:type="spellEnd"/>
      <w:r w:rsidRPr="000026DD">
        <w:rPr>
          <w:sz w:val="24"/>
          <w:szCs w:val="24"/>
        </w:rPr>
        <w:t xml:space="preserve"> Renewable Energies Ltd. </w:t>
      </w:r>
      <w:r>
        <w:rPr>
          <w:sz w:val="24"/>
          <w:szCs w:val="24"/>
        </w:rPr>
        <w:t>i</w:t>
      </w:r>
      <w:r w:rsidRPr="000026DD">
        <w:rPr>
          <w:sz w:val="24"/>
          <w:szCs w:val="24"/>
        </w:rPr>
        <w:t>s one of Israel’s largest renewable energy companies with an estimated market value of $</w:t>
      </w:r>
      <w:r w:rsidR="006F0F3A">
        <w:rPr>
          <w:sz w:val="24"/>
          <w:szCs w:val="24"/>
        </w:rPr>
        <w:t>1.6 b</w:t>
      </w:r>
      <w:r w:rsidRPr="000026DD">
        <w:rPr>
          <w:sz w:val="24"/>
          <w:szCs w:val="24"/>
        </w:rPr>
        <w:t>illion.</w:t>
      </w:r>
      <w:r w:rsidR="006F0F3A">
        <w:rPr>
          <w:rStyle w:val="FootnoteReference"/>
          <w:sz w:val="24"/>
          <w:szCs w:val="24"/>
        </w:rPr>
        <w:footnoteReference w:id="1"/>
      </w:r>
      <w:r>
        <w:rPr>
          <w:sz w:val="24"/>
          <w:szCs w:val="24"/>
        </w:rPr>
        <w:t xml:space="preserve"> </w:t>
      </w:r>
      <w:proofErr w:type="spellStart"/>
      <w:r w:rsidRPr="000026DD">
        <w:rPr>
          <w:sz w:val="24"/>
          <w:szCs w:val="24"/>
        </w:rPr>
        <w:t>Energix’s</w:t>
      </w:r>
      <w:proofErr w:type="spellEnd"/>
      <w:r w:rsidRPr="000026DD">
        <w:rPr>
          <w:sz w:val="24"/>
          <w:szCs w:val="24"/>
        </w:rPr>
        <w:t xml:space="preserve"> </w:t>
      </w:r>
      <w:r>
        <w:rPr>
          <w:sz w:val="24"/>
          <w:szCs w:val="24"/>
        </w:rPr>
        <w:t>renewable</w:t>
      </w:r>
      <w:r w:rsidRPr="000026DD">
        <w:rPr>
          <w:sz w:val="24"/>
          <w:szCs w:val="24"/>
        </w:rPr>
        <w:t xml:space="preserve"> energy portfolio includes existing or planned facilities in Israel, Poland, and the United States. Through the end of 2018, </w:t>
      </w:r>
      <w:proofErr w:type="spellStart"/>
      <w:r w:rsidRPr="000026DD">
        <w:rPr>
          <w:sz w:val="24"/>
          <w:szCs w:val="24"/>
        </w:rPr>
        <w:t>Energix’s</w:t>
      </w:r>
      <w:proofErr w:type="spellEnd"/>
      <w:r w:rsidRPr="000026DD">
        <w:rPr>
          <w:sz w:val="24"/>
          <w:szCs w:val="24"/>
        </w:rPr>
        <w:t xml:space="preserve"> solar energy portfolio included </w:t>
      </w:r>
      <w:r>
        <w:rPr>
          <w:sz w:val="24"/>
          <w:szCs w:val="24"/>
        </w:rPr>
        <w:t>139</w:t>
      </w:r>
      <w:r w:rsidRPr="000026DD">
        <w:rPr>
          <w:sz w:val="24"/>
          <w:szCs w:val="24"/>
        </w:rPr>
        <w:t xml:space="preserve"> Megawatts (MW) of </w:t>
      </w:r>
      <w:r>
        <w:rPr>
          <w:sz w:val="24"/>
          <w:szCs w:val="24"/>
        </w:rPr>
        <w:t xml:space="preserve">photovoltaic facilities in commercial operation, </w:t>
      </w:r>
      <w:r w:rsidRPr="000026DD">
        <w:rPr>
          <w:sz w:val="24"/>
          <w:szCs w:val="24"/>
        </w:rPr>
        <w:t xml:space="preserve">approximately 150 MW of projects in </w:t>
      </w:r>
      <w:r>
        <w:rPr>
          <w:sz w:val="24"/>
          <w:szCs w:val="24"/>
        </w:rPr>
        <w:t xml:space="preserve">the </w:t>
      </w:r>
      <w:r w:rsidRPr="000026DD">
        <w:rPr>
          <w:sz w:val="24"/>
          <w:szCs w:val="24"/>
        </w:rPr>
        <w:t>construction or pre-construction</w:t>
      </w:r>
      <w:r>
        <w:rPr>
          <w:sz w:val="24"/>
          <w:szCs w:val="24"/>
        </w:rPr>
        <w:t xml:space="preserve"> phase</w:t>
      </w:r>
      <w:r w:rsidRPr="000026DD">
        <w:rPr>
          <w:sz w:val="24"/>
          <w:szCs w:val="24"/>
        </w:rPr>
        <w:t>, and over 1,000 MW of projects in development.</w:t>
      </w:r>
      <w:r w:rsidR="00047931">
        <w:rPr>
          <w:rStyle w:val="FootnoteReference"/>
          <w:sz w:val="24"/>
          <w:szCs w:val="24"/>
        </w:rPr>
        <w:footnoteReference w:id="2"/>
      </w:r>
      <w:r>
        <w:rPr>
          <w:sz w:val="24"/>
          <w:szCs w:val="24"/>
        </w:rPr>
        <w:t xml:space="preserve"> </w:t>
      </w:r>
      <w:proofErr w:type="spellStart"/>
      <w:r w:rsidRPr="00F54218">
        <w:rPr>
          <w:sz w:val="24"/>
          <w:szCs w:val="24"/>
        </w:rPr>
        <w:t>Energix</w:t>
      </w:r>
      <w:proofErr w:type="spellEnd"/>
      <w:r>
        <w:rPr>
          <w:sz w:val="24"/>
          <w:szCs w:val="24"/>
        </w:rPr>
        <w:t xml:space="preserve"> Renewable Energies, th</w:t>
      </w:r>
      <w:r w:rsidR="00667CDC">
        <w:rPr>
          <w:sz w:val="24"/>
          <w:szCs w:val="24"/>
        </w:rPr>
        <w:t>r</w:t>
      </w:r>
      <w:r>
        <w:rPr>
          <w:sz w:val="24"/>
          <w:szCs w:val="24"/>
        </w:rPr>
        <w:t>ough its</w:t>
      </w:r>
      <w:r w:rsidRPr="00F54218">
        <w:rPr>
          <w:sz w:val="24"/>
          <w:szCs w:val="24"/>
        </w:rPr>
        <w:t xml:space="preserve"> Virginia based subsidiary</w:t>
      </w:r>
      <w:r>
        <w:rPr>
          <w:sz w:val="24"/>
          <w:szCs w:val="24"/>
        </w:rPr>
        <w:t xml:space="preserve">, </w:t>
      </w:r>
      <w:proofErr w:type="spellStart"/>
      <w:r>
        <w:rPr>
          <w:sz w:val="24"/>
          <w:szCs w:val="24"/>
        </w:rPr>
        <w:t>Energix</w:t>
      </w:r>
      <w:proofErr w:type="spellEnd"/>
      <w:r>
        <w:rPr>
          <w:sz w:val="24"/>
          <w:szCs w:val="24"/>
        </w:rPr>
        <w:t xml:space="preserve"> US LCC</w:t>
      </w:r>
      <w:r w:rsidR="002F66A5">
        <w:rPr>
          <w:rStyle w:val="FootnoteReference"/>
          <w:sz w:val="24"/>
          <w:szCs w:val="24"/>
        </w:rPr>
        <w:footnoteReference w:id="3"/>
      </w:r>
      <w:r>
        <w:rPr>
          <w:sz w:val="24"/>
          <w:szCs w:val="24"/>
        </w:rPr>
        <w:t>,</w:t>
      </w:r>
      <w:r w:rsidRPr="00F54218">
        <w:rPr>
          <w:sz w:val="24"/>
          <w:szCs w:val="24"/>
        </w:rPr>
        <w:t xml:space="preserve"> plans to invest at least $130 million in </w:t>
      </w:r>
      <w:r>
        <w:rPr>
          <w:sz w:val="24"/>
          <w:szCs w:val="24"/>
        </w:rPr>
        <w:t xml:space="preserve">Virginia by the first quarter of </w:t>
      </w:r>
      <w:r w:rsidR="00996EB9">
        <w:rPr>
          <w:sz w:val="24"/>
          <w:szCs w:val="24"/>
        </w:rPr>
        <w:t>2020</w:t>
      </w:r>
      <w:r>
        <w:rPr>
          <w:sz w:val="24"/>
          <w:szCs w:val="24"/>
        </w:rPr>
        <w:t>.</w:t>
      </w:r>
    </w:p>
    <w:p w14:paraId="6DCAAD4F" w14:textId="62C90365" w:rsidR="000467AE" w:rsidRDefault="000467AE" w:rsidP="001F317B">
      <w:pPr>
        <w:spacing w:after="120" w:line="480" w:lineRule="auto"/>
        <w:jc w:val="both"/>
        <w:rPr>
          <w:sz w:val="24"/>
          <w:szCs w:val="24"/>
        </w:rPr>
      </w:pPr>
      <w:r>
        <w:rPr>
          <w:sz w:val="24"/>
          <w:szCs w:val="24"/>
        </w:rPr>
        <w:tab/>
        <w:t xml:space="preserve">In this research note, we estimate the total economic impact of </w:t>
      </w:r>
      <w:proofErr w:type="spellStart"/>
      <w:r>
        <w:rPr>
          <w:sz w:val="24"/>
          <w:szCs w:val="24"/>
        </w:rPr>
        <w:t>Energix</w:t>
      </w:r>
      <w:r w:rsidR="001F317B">
        <w:rPr>
          <w:sz w:val="24"/>
          <w:szCs w:val="24"/>
        </w:rPr>
        <w:t>’s</w:t>
      </w:r>
      <w:proofErr w:type="spellEnd"/>
      <w:r w:rsidR="001F317B">
        <w:rPr>
          <w:sz w:val="24"/>
          <w:szCs w:val="24"/>
        </w:rPr>
        <w:t xml:space="preserve"> </w:t>
      </w:r>
      <w:r w:rsidR="00742EF2">
        <w:rPr>
          <w:sz w:val="24"/>
          <w:szCs w:val="24"/>
        </w:rPr>
        <w:t xml:space="preserve">planned </w:t>
      </w:r>
      <w:r w:rsidR="001F317B">
        <w:rPr>
          <w:sz w:val="24"/>
          <w:szCs w:val="24"/>
        </w:rPr>
        <w:t>investment</w:t>
      </w:r>
      <w:r w:rsidR="00CF686D">
        <w:rPr>
          <w:sz w:val="24"/>
          <w:szCs w:val="24"/>
        </w:rPr>
        <w:t>s in 2019 and 2020</w:t>
      </w:r>
      <w:r w:rsidR="001F317B">
        <w:rPr>
          <w:sz w:val="24"/>
          <w:szCs w:val="24"/>
        </w:rPr>
        <w:t xml:space="preserve"> in the Commonwealth of Virginia.</w:t>
      </w:r>
      <w:r w:rsidR="00012142">
        <w:rPr>
          <w:sz w:val="24"/>
          <w:szCs w:val="24"/>
        </w:rPr>
        <w:t xml:space="preserve"> The period of analysis of the economic impacts is from 2019 to 2025.</w:t>
      </w:r>
      <w:r w:rsidR="001F317B">
        <w:rPr>
          <w:sz w:val="24"/>
          <w:szCs w:val="24"/>
        </w:rPr>
        <w:t xml:space="preserve"> </w:t>
      </w:r>
      <w:r w:rsidR="00742EF2">
        <w:rPr>
          <w:sz w:val="24"/>
          <w:szCs w:val="24"/>
        </w:rPr>
        <w:t xml:space="preserve">As the projects are in the pre-construction or construction phase, the estimated total economic impact is a projection of the incremental increase in economic activity and employment in Virginia. Our intent is not only to approximate the increase in direct investment in the Commonwealth, but also estimate the secondary and tertiary impacts on output and employment. As we discuss in this note, </w:t>
      </w:r>
      <w:r w:rsidR="00356F91">
        <w:rPr>
          <w:sz w:val="24"/>
          <w:szCs w:val="24"/>
        </w:rPr>
        <w:t xml:space="preserve">a </w:t>
      </w:r>
      <w:r w:rsidR="00742EF2">
        <w:rPr>
          <w:sz w:val="24"/>
          <w:szCs w:val="24"/>
        </w:rPr>
        <w:t xml:space="preserve">$1 increase in </w:t>
      </w:r>
      <w:r w:rsidR="00741651">
        <w:rPr>
          <w:sz w:val="24"/>
          <w:szCs w:val="24"/>
        </w:rPr>
        <w:t xml:space="preserve">electric power </w:t>
      </w:r>
      <w:r w:rsidR="00CE7F5D">
        <w:rPr>
          <w:sz w:val="24"/>
          <w:szCs w:val="24"/>
        </w:rPr>
        <w:t xml:space="preserve">generation output </w:t>
      </w:r>
      <w:r w:rsidR="00742EF2">
        <w:rPr>
          <w:sz w:val="24"/>
          <w:szCs w:val="24"/>
        </w:rPr>
        <w:t xml:space="preserve">will, </w:t>
      </w:r>
      <w:r w:rsidR="00356F91">
        <w:rPr>
          <w:sz w:val="24"/>
          <w:szCs w:val="24"/>
        </w:rPr>
        <w:t xml:space="preserve">on average, </w:t>
      </w:r>
      <w:r w:rsidR="00742EF2">
        <w:rPr>
          <w:sz w:val="24"/>
          <w:szCs w:val="24"/>
        </w:rPr>
        <w:t>increase gross</w:t>
      </w:r>
      <w:r w:rsidR="00CE7F5D">
        <w:rPr>
          <w:sz w:val="24"/>
          <w:szCs w:val="24"/>
        </w:rPr>
        <w:t xml:space="preserve"> economic output</w:t>
      </w:r>
      <w:r w:rsidR="00742EF2">
        <w:rPr>
          <w:sz w:val="24"/>
          <w:szCs w:val="24"/>
        </w:rPr>
        <w:t xml:space="preserve"> in Virginia</w:t>
      </w:r>
      <w:r w:rsidR="00CE7F5D">
        <w:rPr>
          <w:sz w:val="24"/>
          <w:szCs w:val="24"/>
        </w:rPr>
        <w:t xml:space="preserve"> by $1.37.</w:t>
      </w:r>
      <w:r w:rsidR="00CE7F5D">
        <w:rPr>
          <w:rStyle w:val="FootnoteReference"/>
          <w:sz w:val="24"/>
          <w:szCs w:val="24"/>
        </w:rPr>
        <w:footnoteReference w:id="4"/>
      </w:r>
    </w:p>
    <w:p w14:paraId="721E8F7E" w14:textId="0A84612D" w:rsidR="00ED4F96" w:rsidRDefault="00ED4F96" w:rsidP="00915152">
      <w:pPr>
        <w:spacing w:after="120" w:line="480" w:lineRule="auto"/>
        <w:jc w:val="both"/>
        <w:rPr>
          <w:sz w:val="24"/>
          <w:szCs w:val="24"/>
        </w:rPr>
      </w:pPr>
      <w:r>
        <w:rPr>
          <w:sz w:val="24"/>
          <w:szCs w:val="24"/>
        </w:rPr>
        <w:lastRenderedPageBreak/>
        <w:tab/>
        <w:t xml:space="preserve">The remainder of this note is structured as follows. In the second section, we briefly review the operations of </w:t>
      </w:r>
      <w:proofErr w:type="spellStart"/>
      <w:r>
        <w:rPr>
          <w:sz w:val="24"/>
          <w:szCs w:val="24"/>
        </w:rPr>
        <w:t>Energix</w:t>
      </w:r>
      <w:proofErr w:type="spellEnd"/>
      <w:r>
        <w:rPr>
          <w:sz w:val="24"/>
          <w:szCs w:val="24"/>
        </w:rPr>
        <w:t xml:space="preserve"> in Virginia. We then discuss the methodology and assumptions underlying the </w:t>
      </w:r>
      <w:r w:rsidR="00B819B4">
        <w:rPr>
          <w:sz w:val="24"/>
          <w:szCs w:val="24"/>
        </w:rPr>
        <w:t>economic impact estimates in the third section. The fourth section presents the economic impact estimates. The last section concludes and offers suggestions regarding investments in renewable energies.</w:t>
      </w:r>
    </w:p>
    <w:p w14:paraId="1390A802" w14:textId="6BADA198" w:rsidR="00B819B4" w:rsidRDefault="00DD03D1" w:rsidP="00915152">
      <w:pPr>
        <w:spacing w:after="120" w:line="480" w:lineRule="auto"/>
        <w:jc w:val="both"/>
        <w:rPr>
          <w:b/>
          <w:bCs/>
          <w:sz w:val="24"/>
          <w:szCs w:val="24"/>
        </w:rPr>
      </w:pPr>
      <w:r w:rsidRPr="00DD03D1">
        <w:rPr>
          <w:b/>
          <w:bCs/>
          <w:sz w:val="24"/>
          <w:szCs w:val="24"/>
        </w:rPr>
        <w:t>2.</w:t>
      </w:r>
      <w:r w:rsidRPr="00DD03D1">
        <w:rPr>
          <w:b/>
          <w:bCs/>
          <w:sz w:val="24"/>
          <w:szCs w:val="24"/>
        </w:rPr>
        <w:tab/>
        <w:t xml:space="preserve">A Brief Background on </w:t>
      </w:r>
      <w:proofErr w:type="spellStart"/>
      <w:r w:rsidRPr="00DD03D1">
        <w:rPr>
          <w:b/>
          <w:bCs/>
          <w:sz w:val="24"/>
          <w:szCs w:val="24"/>
        </w:rPr>
        <w:t>Energix</w:t>
      </w:r>
      <w:proofErr w:type="spellEnd"/>
      <w:r w:rsidRPr="00DD03D1">
        <w:rPr>
          <w:b/>
          <w:bCs/>
          <w:sz w:val="24"/>
          <w:szCs w:val="24"/>
        </w:rPr>
        <w:t xml:space="preserve"> and </w:t>
      </w:r>
      <w:r w:rsidR="001A5426">
        <w:rPr>
          <w:b/>
          <w:bCs/>
          <w:sz w:val="24"/>
          <w:szCs w:val="24"/>
        </w:rPr>
        <w:t>Its Decision to Locate in Virginia</w:t>
      </w:r>
    </w:p>
    <w:p w14:paraId="67603A68" w14:textId="27984C09" w:rsidR="008A3834" w:rsidRDefault="00A7373F" w:rsidP="00915152">
      <w:pPr>
        <w:spacing w:after="120" w:line="480" w:lineRule="auto"/>
        <w:jc w:val="both"/>
        <w:rPr>
          <w:sz w:val="24"/>
          <w:szCs w:val="24"/>
        </w:rPr>
      </w:pPr>
      <w:r>
        <w:rPr>
          <w:b/>
          <w:bCs/>
          <w:sz w:val="24"/>
          <w:szCs w:val="24"/>
        </w:rPr>
        <w:tab/>
      </w:r>
      <w:proofErr w:type="spellStart"/>
      <w:r>
        <w:rPr>
          <w:sz w:val="24"/>
          <w:szCs w:val="24"/>
        </w:rPr>
        <w:t>Energix</w:t>
      </w:r>
      <w:proofErr w:type="spellEnd"/>
      <w:r w:rsidR="009D38F6">
        <w:rPr>
          <w:sz w:val="24"/>
          <w:szCs w:val="24"/>
        </w:rPr>
        <w:t xml:space="preserve"> entered the Virginia renewable energy market in late 2017 when it established a physical presence in Northern Virginia. </w:t>
      </w:r>
      <w:r w:rsidR="00742EF2">
        <w:rPr>
          <w:sz w:val="24"/>
          <w:szCs w:val="24"/>
        </w:rPr>
        <w:t xml:space="preserve">The decision by </w:t>
      </w:r>
      <w:proofErr w:type="spellStart"/>
      <w:r w:rsidR="00742EF2">
        <w:rPr>
          <w:sz w:val="24"/>
          <w:szCs w:val="24"/>
        </w:rPr>
        <w:t>Energix</w:t>
      </w:r>
      <w:proofErr w:type="spellEnd"/>
      <w:r w:rsidR="00742EF2">
        <w:rPr>
          <w:sz w:val="24"/>
          <w:szCs w:val="24"/>
        </w:rPr>
        <w:t xml:space="preserve"> to expand its operations to the United States</w:t>
      </w:r>
      <w:r w:rsidR="008A3834">
        <w:rPr>
          <w:sz w:val="24"/>
          <w:szCs w:val="24"/>
        </w:rPr>
        <w:t xml:space="preserve"> was driven by the increasing demand for renewable energies. The selection of Virginia was not only influenced by market conditions, but also a </w:t>
      </w:r>
      <w:r w:rsidR="00742EF2">
        <w:rPr>
          <w:sz w:val="24"/>
          <w:szCs w:val="24"/>
        </w:rPr>
        <w:t>regulatory environment</w:t>
      </w:r>
      <w:r w:rsidR="008A3834">
        <w:rPr>
          <w:sz w:val="24"/>
          <w:szCs w:val="24"/>
        </w:rPr>
        <w:t xml:space="preserve"> </w:t>
      </w:r>
      <w:r w:rsidR="00742EF2">
        <w:rPr>
          <w:sz w:val="24"/>
          <w:szCs w:val="24"/>
        </w:rPr>
        <w:t xml:space="preserve">and proactive engagement by </w:t>
      </w:r>
      <w:r w:rsidR="001A5426">
        <w:rPr>
          <w:sz w:val="24"/>
          <w:szCs w:val="24"/>
        </w:rPr>
        <w:t>the Virginia Israel Advisory Board (VIAB)</w:t>
      </w:r>
      <w:r w:rsidR="00742EF2">
        <w:rPr>
          <w:sz w:val="24"/>
          <w:szCs w:val="24"/>
        </w:rPr>
        <w:t>.</w:t>
      </w:r>
    </w:p>
    <w:p w14:paraId="2678C29B" w14:textId="0E3073B2" w:rsidR="00263471" w:rsidRDefault="003E6B6E" w:rsidP="00915152">
      <w:pPr>
        <w:spacing w:after="120" w:line="480" w:lineRule="auto"/>
        <w:jc w:val="both"/>
        <w:rPr>
          <w:sz w:val="24"/>
          <w:szCs w:val="24"/>
        </w:rPr>
      </w:pPr>
      <w:r>
        <w:rPr>
          <w:sz w:val="24"/>
          <w:szCs w:val="24"/>
        </w:rPr>
        <w:tab/>
        <w:t>As illustrated in Table 1, market conditions in the United States</w:t>
      </w:r>
      <w:r w:rsidR="00F44E30">
        <w:rPr>
          <w:sz w:val="24"/>
          <w:szCs w:val="24"/>
        </w:rPr>
        <w:t xml:space="preserve"> have shifted away from coal towards natural gas and renewables. In 2000, total solar</w:t>
      </w:r>
      <w:r w:rsidR="00263471">
        <w:rPr>
          <w:sz w:val="24"/>
          <w:szCs w:val="24"/>
        </w:rPr>
        <w:t xml:space="preserve"> (photovoltaic)</w:t>
      </w:r>
      <w:r w:rsidR="00F44E30">
        <w:rPr>
          <w:sz w:val="24"/>
          <w:szCs w:val="24"/>
        </w:rPr>
        <w:t xml:space="preserve"> energy production for electrical generation purposes was 493.4 Kilowatt Hours (</w:t>
      </w:r>
      <w:proofErr w:type="spellStart"/>
      <w:r w:rsidR="00F44E30">
        <w:rPr>
          <w:sz w:val="24"/>
          <w:szCs w:val="24"/>
        </w:rPr>
        <w:t>KWh</w:t>
      </w:r>
      <w:proofErr w:type="spellEnd"/>
      <w:r w:rsidR="00F44E30">
        <w:rPr>
          <w:sz w:val="24"/>
          <w:szCs w:val="24"/>
        </w:rPr>
        <w:t>)</w:t>
      </w:r>
      <w:r w:rsidR="00263471">
        <w:rPr>
          <w:sz w:val="24"/>
          <w:szCs w:val="24"/>
        </w:rPr>
        <w:t xml:space="preserve"> or 0.01% of total net electrical production</w:t>
      </w:r>
      <w:r w:rsidR="00F44E30">
        <w:rPr>
          <w:sz w:val="24"/>
          <w:szCs w:val="24"/>
        </w:rPr>
        <w:t>.</w:t>
      </w:r>
      <w:r w:rsidR="00263471">
        <w:rPr>
          <w:sz w:val="24"/>
          <w:szCs w:val="24"/>
        </w:rPr>
        <w:t xml:space="preserve"> By 2018, </w:t>
      </w:r>
      <w:r w:rsidR="004C4E49">
        <w:rPr>
          <w:sz w:val="24"/>
          <w:szCs w:val="24"/>
        </w:rPr>
        <w:t xml:space="preserve">net electrical generation from </w:t>
      </w:r>
      <w:r w:rsidR="00263471">
        <w:rPr>
          <w:sz w:val="24"/>
          <w:szCs w:val="24"/>
        </w:rPr>
        <w:t xml:space="preserve">solar rose to 66,603.7 </w:t>
      </w:r>
      <w:proofErr w:type="spellStart"/>
      <w:r w:rsidR="00263471">
        <w:rPr>
          <w:sz w:val="24"/>
          <w:szCs w:val="24"/>
        </w:rPr>
        <w:t>KWh</w:t>
      </w:r>
      <w:proofErr w:type="spellEnd"/>
      <w:r w:rsidR="00263471">
        <w:rPr>
          <w:sz w:val="24"/>
          <w:szCs w:val="24"/>
        </w:rPr>
        <w:t>, an increase of 13,400%.</w:t>
      </w:r>
      <w:r w:rsidR="00263471">
        <w:rPr>
          <w:rStyle w:val="FootnoteReference"/>
          <w:sz w:val="24"/>
          <w:szCs w:val="24"/>
        </w:rPr>
        <w:footnoteReference w:id="5"/>
      </w:r>
      <w:r w:rsidR="00263471">
        <w:rPr>
          <w:sz w:val="24"/>
          <w:szCs w:val="24"/>
        </w:rPr>
        <w:t xml:space="preserve"> During this period, the use of coal in electricity production fell 41.7%, replaced, in part, by natural gas (144.2%)</w:t>
      </w:r>
      <w:r w:rsidR="000614D7">
        <w:rPr>
          <w:sz w:val="24"/>
          <w:szCs w:val="24"/>
        </w:rPr>
        <w:t>,</w:t>
      </w:r>
      <w:r w:rsidR="00263471">
        <w:rPr>
          <w:sz w:val="24"/>
          <w:szCs w:val="24"/>
        </w:rPr>
        <w:t xml:space="preserve"> solar, and wind (4,815.8%).</w:t>
      </w:r>
      <w:r w:rsidR="004C4E49">
        <w:rPr>
          <w:sz w:val="24"/>
          <w:szCs w:val="24"/>
        </w:rPr>
        <w:t xml:space="preserve"> </w:t>
      </w:r>
    </w:p>
    <w:p w14:paraId="70F7F9FE" w14:textId="73D32D6E" w:rsidR="006C2722" w:rsidRDefault="00263471" w:rsidP="00263471">
      <w:pPr>
        <w:spacing w:after="120" w:line="480" w:lineRule="auto"/>
        <w:ind w:firstLine="720"/>
        <w:jc w:val="both"/>
        <w:rPr>
          <w:sz w:val="24"/>
          <w:szCs w:val="24"/>
        </w:rPr>
      </w:pPr>
      <w:r>
        <w:rPr>
          <w:sz w:val="24"/>
          <w:szCs w:val="24"/>
        </w:rPr>
        <w:t>To say that the growth in solar generating capacity exceeded expectations would be an understatement. In</w:t>
      </w:r>
      <w:r w:rsidR="003D3571">
        <w:rPr>
          <w:sz w:val="24"/>
          <w:szCs w:val="24"/>
        </w:rPr>
        <w:t xml:space="preserve"> 2011, the U.S. Energy Information Administration (EIA) projected that national solar generating capacity would increase ten-fold by 2040.</w:t>
      </w:r>
      <w:r w:rsidR="006C2722">
        <w:rPr>
          <w:rStyle w:val="FootnoteReference"/>
          <w:sz w:val="24"/>
          <w:szCs w:val="24"/>
        </w:rPr>
        <w:footnoteReference w:id="6"/>
      </w:r>
      <w:r w:rsidR="003D3571">
        <w:rPr>
          <w:sz w:val="24"/>
          <w:szCs w:val="24"/>
        </w:rPr>
        <w:t xml:space="preserve"> The </w:t>
      </w:r>
      <w:r w:rsidR="004C4E49">
        <w:rPr>
          <w:sz w:val="24"/>
          <w:szCs w:val="24"/>
        </w:rPr>
        <w:t xml:space="preserve">2011 projection of solar </w:t>
      </w:r>
      <w:r w:rsidR="004C4E49">
        <w:rPr>
          <w:sz w:val="24"/>
          <w:szCs w:val="24"/>
        </w:rPr>
        <w:lastRenderedPageBreak/>
        <w:t xml:space="preserve">generating capacity in </w:t>
      </w:r>
      <w:r w:rsidR="003D3571">
        <w:rPr>
          <w:sz w:val="24"/>
          <w:szCs w:val="24"/>
        </w:rPr>
        <w:t xml:space="preserve">2035 was achieved in 2016 and the 2040 </w:t>
      </w:r>
      <w:r w:rsidR="004C4E49">
        <w:rPr>
          <w:sz w:val="24"/>
          <w:szCs w:val="24"/>
        </w:rPr>
        <w:t xml:space="preserve">solar generating capacity </w:t>
      </w:r>
      <w:r w:rsidR="003D3571">
        <w:rPr>
          <w:sz w:val="24"/>
          <w:szCs w:val="24"/>
        </w:rPr>
        <w:t>projection was reached in 2017.</w:t>
      </w:r>
      <w:r w:rsidR="003D3571" w:rsidRPr="003D3571">
        <w:rPr>
          <w:sz w:val="24"/>
          <w:szCs w:val="24"/>
        </w:rPr>
        <w:t xml:space="preserve"> </w:t>
      </w:r>
      <w:r>
        <w:rPr>
          <w:sz w:val="24"/>
          <w:szCs w:val="24"/>
        </w:rPr>
        <w:t>From a business perspective, the impetus to invest in solar generating facilities is clear</w:t>
      </w:r>
      <w:r w:rsidR="004C4E49">
        <w:rPr>
          <w:sz w:val="24"/>
          <w:szCs w:val="24"/>
        </w:rPr>
        <w:t xml:space="preserve"> as the solar industry is rapidly expanding</w:t>
      </w:r>
      <w:r>
        <w:rPr>
          <w:sz w:val="24"/>
          <w:szCs w:val="24"/>
        </w:rPr>
        <w:t xml:space="preserve">. </w:t>
      </w:r>
      <w:r w:rsidR="004C4E49">
        <w:rPr>
          <w:sz w:val="24"/>
          <w:szCs w:val="24"/>
        </w:rPr>
        <w:t xml:space="preserve">Of note, the EIA’s 2019 Annual Energy Outlook </w:t>
      </w:r>
      <w:r w:rsidR="006C2722">
        <w:rPr>
          <w:sz w:val="24"/>
          <w:szCs w:val="24"/>
        </w:rPr>
        <w:t xml:space="preserve">projects </w:t>
      </w:r>
      <w:r w:rsidR="004C4E49">
        <w:rPr>
          <w:sz w:val="24"/>
          <w:szCs w:val="24"/>
        </w:rPr>
        <w:t>43</w:t>
      </w:r>
      <w:r w:rsidR="006C2722">
        <w:rPr>
          <w:sz w:val="24"/>
          <w:szCs w:val="24"/>
        </w:rPr>
        <w:t xml:space="preserve">% of new </w:t>
      </w:r>
      <w:r w:rsidR="004C4E49">
        <w:rPr>
          <w:sz w:val="24"/>
          <w:szCs w:val="24"/>
        </w:rPr>
        <w:t xml:space="preserve">net </w:t>
      </w:r>
      <w:r>
        <w:rPr>
          <w:sz w:val="24"/>
          <w:szCs w:val="24"/>
        </w:rPr>
        <w:t xml:space="preserve">electrical </w:t>
      </w:r>
      <w:r w:rsidR="006C2722">
        <w:rPr>
          <w:sz w:val="24"/>
          <w:szCs w:val="24"/>
        </w:rPr>
        <w:t>generat</w:t>
      </w:r>
      <w:r>
        <w:rPr>
          <w:sz w:val="24"/>
          <w:szCs w:val="24"/>
        </w:rPr>
        <w:t>ion</w:t>
      </w:r>
      <w:r w:rsidR="006C2722">
        <w:rPr>
          <w:sz w:val="24"/>
          <w:szCs w:val="24"/>
        </w:rPr>
        <w:t xml:space="preserve"> capacity will come from solar power</w:t>
      </w:r>
      <w:r w:rsidR="004C4E49">
        <w:rPr>
          <w:sz w:val="24"/>
          <w:szCs w:val="24"/>
        </w:rPr>
        <w:t xml:space="preserve"> over the next three decades.</w:t>
      </w:r>
      <w:r w:rsidR="006C2722">
        <w:rPr>
          <w:rStyle w:val="FootnoteReference"/>
          <w:sz w:val="24"/>
          <w:szCs w:val="24"/>
        </w:rPr>
        <w:footnoteReference w:id="7"/>
      </w:r>
    </w:p>
    <w:p w14:paraId="5D69B717" w14:textId="41A97FB2" w:rsidR="00F44E30" w:rsidRPr="00F44E30" w:rsidRDefault="00F44E30" w:rsidP="006C2722">
      <w:pPr>
        <w:spacing w:after="120" w:line="480" w:lineRule="auto"/>
        <w:jc w:val="center"/>
        <w:rPr>
          <w:b/>
          <w:bCs/>
          <w:sz w:val="24"/>
          <w:szCs w:val="24"/>
        </w:rPr>
      </w:pPr>
      <w:r w:rsidRPr="00F44E30">
        <w:rPr>
          <w:b/>
          <w:bCs/>
          <w:sz w:val="24"/>
          <w:szCs w:val="24"/>
        </w:rPr>
        <w:t>Table 1</w:t>
      </w:r>
    </w:p>
    <w:p w14:paraId="3DD8E6E3" w14:textId="709A1A3A" w:rsidR="00F44E30" w:rsidRPr="00F44E30" w:rsidRDefault="00F44E30" w:rsidP="00F44E30">
      <w:pPr>
        <w:spacing w:after="120" w:line="480" w:lineRule="auto"/>
        <w:jc w:val="center"/>
        <w:rPr>
          <w:b/>
          <w:bCs/>
          <w:sz w:val="24"/>
          <w:szCs w:val="24"/>
        </w:rPr>
      </w:pPr>
      <w:r w:rsidRPr="00F44E30">
        <w:rPr>
          <w:b/>
          <w:bCs/>
          <w:sz w:val="24"/>
          <w:szCs w:val="24"/>
        </w:rPr>
        <w:t>Selected Sources of Net Electricity Production in Millions of Kilowatt Hours (</w:t>
      </w:r>
      <w:proofErr w:type="spellStart"/>
      <w:r w:rsidRPr="00F44E30">
        <w:rPr>
          <w:b/>
          <w:bCs/>
          <w:sz w:val="24"/>
          <w:szCs w:val="24"/>
        </w:rPr>
        <w:t>KWh</w:t>
      </w:r>
      <w:proofErr w:type="spellEnd"/>
      <w:r w:rsidRPr="00F44E30">
        <w:rPr>
          <w:b/>
          <w:bCs/>
          <w:sz w:val="24"/>
          <w:szCs w:val="24"/>
        </w:rPr>
        <w:t>)</w:t>
      </w:r>
    </w:p>
    <w:p w14:paraId="7B8959EC" w14:textId="2EB6BA20" w:rsidR="00F44E30" w:rsidRPr="00F44E30" w:rsidRDefault="00F44E30" w:rsidP="00F44E30">
      <w:pPr>
        <w:spacing w:after="120" w:line="480" w:lineRule="auto"/>
        <w:jc w:val="center"/>
        <w:rPr>
          <w:b/>
          <w:bCs/>
          <w:sz w:val="24"/>
          <w:szCs w:val="24"/>
        </w:rPr>
      </w:pPr>
      <w:r w:rsidRPr="00F44E30">
        <w:rPr>
          <w:b/>
          <w:bCs/>
          <w:sz w:val="24"/>
          <w:szCs w:val="24"/>
        </w:rPr>
        <w:t>United States, 2000 and 2018</w:t>
      </w:r>
    </w:p>
    <w:tbl>
      <w:tblPr>
        <w:tblStyle w:val="TableGrid"/>
        <w:tblW w:w="0" w:type="auto"/>
        <w:tblLook w:val="04A0" w:firstRow="1" w:lastRow="0" w:firstColumn="1" w:lastColumn="0" w:noHBand="0" w:noVBand="1"/>
      </w:tblPr>
      <w:tblGrid>
        <w:gridCol w:w="1283"/>
        <w:gridCol w:w="1353"/>
        <w:gridCol w:w="1356"/>
        <w:gridCol w:w="1141"/>
        <w:gridCol w:w="1317"/>
        <w:gridCol w:w="1317"/>
        <w:gridCol w:w="1583"/>
      </w:tblGrid>
      <w:tr w:rsidR="004C4E49" w:rsidRPr="004C4E49" w14:paraId="5C430101" w14:textId="13ABAE6A" w:rsidTr="004C4E49">
        <w:tc>
          <w:tcPr>
            <w:tcW w:w="1283" w:type="dxa"/>
            <w:vAlign w:val="center"/>
          </w:tcPr>
          <w:p w14:paraId="16D06104" w14:textId="77777777" w:rsidR="004C4E49" w:rsidRPr="004C4E49" w:rsidRDefault="004C4E49" w:rsidP="00F44E30">
            <w:pPr>
              <w:spacing w:after="120"/>
              <w:jc w:val="both"/>
              <w:rPr>
                <w:rFonts w:asciiTheme="minorHAnsi" w:hAnsiTheme="minorHAnsi" w:cstheme="minorHAnsi"/>
                <w:sz w:val="24"/>
                <w:szCs w:val="24"/>
              </w:rPr>
            </w:pPr>
          </w:p>
        </w:tc>
        <w:tc>
          <w:tcPr>
            <w:tcW w:w="1353" w:type="dxa"/>
            <w:vAlign w:val="center"/>
          </w:tcPr>
          <w:p w14:paraId="532683A2" w14:textId="12A781A7" w:rsidR="004C4E49" w:rsidRPr="004C4E49" w:rsidRDefault="004C4E49" w:rsidP="00F44E30">
            <w:pPr>
              <w:spacing w:after="120"/>
              <w:jc w:val="center"/>
              <w:rPr>
                <w:rFonts w:asciiTheme="minorHAnsi" w:hAnsiTheme="minorHAnsi" w:cstheme="minorHAnsi"/>
                <w:sz w:val="24"/>
                <w:szCs w:val="24"/>
              </w:rPr>
            </w:pPr>
            <w:r w:rsidRPr="004C4E49">
              <w:rPr>
                <w:rFonts w:asciiTheme="minorHAnsi" w:hAnsiTheme="minorHAnsi" w:cstheme="minorHAnsi"/>
                <w:sz w:val="24"/>
                <w:szCs w:val="24"/>
              </w:rPr>
              <w:t>Coal</w:t>
            </w:r>
          </w:p>
        </w:tc>
        <w:tc>
          <w:tcPr>
            <w:tcW w:w="1356" w:type="dxa"/>
            <w:vAlign w:val="center"/>
          </w:tcPr>
          <w:p w14:paraId="0794CC00" w14:textId="4ADF7182" w:rsidR="004C4E49" w:rsidRPr="004C4E49" w:rsidRDefault="004C4E49" w:rsidP="00F44E30">
            <w:pPr>
              <w:spacing w:after="120"/>
              <w:jc w:val="center"/>
              <w:rPr>
                <w:rFonts w:asciiTheme="minorHAnsi" w:hAnsiTheme="minorHAnsi" w:cstheme="minorHAnsi"/>
                <w:sz w:val="24"/>
                <w:szCs w:val="24"/>
              </w:rPr>
            </w:pPr>
            <w:r w:rsidRPr="004C4E49">
              <w:rPr>
                <w:rFonts w:asciiTheme="minorHAnsi" w:hAnsiTheme="minorHAnsi" w:cstheme="minorHAnsi"/>
                <w:sz w:val="24"/>
                <w:szCs w:val="24"/>
              </w:rPr>
              <w:t>Natural Gas</w:t>
            </w:r>
          </w:p>
        </w:tc>
        <w:tc>
          <w:tcPr>
            <w:tcW w:w="1141" w:type="dxa"/>
            <w:vAlign w:val="center"/>
          </w:tcPr>
          <w:p w14:paraId="1FF1F99F" w14:textId="0F5ABFE4" w:rsidR="004C4E49" w:rsidRPr="004C4E49" w:rsidRDefault="004C4E49" w:rsidP="00F44E30">
            <w:pPr>
              <w:spacing w:after="120"/>
              <w:jc w:val="center"/>
              <w:rPr>
                <w:rFonts w:asciiTheme="minorHAnsi" w:hAnsiTheme="minorHAnsi" w:cstheme="minorHAnsi"/>
                <w:sz w:val="24"/>
                <w:szCs w:val="24"/>
              </w:rPr>
            </w:pPr>
            <w:r w:rsidRPr="004C4E49">
              <w:rPr>
                <w:rFonts w:asciiTheme="minorHAnsi" w:hAnsiTheme="minorHAnsi" w:cstheme="minorHAnsi"/>
                <w:sz w:val="24"/>
                <w:szCs w:val="24"/>
              </w:rPr>
              <w:t>Nuclear</w:t>
            </w:r>
          </w:p>
        </w:tc>
        <w:tc>
          <w:tcPr>
            <w:tcW w:w="1317" w:type="dxa"/>
            <w:vAlign w:val="center"/>
          </w:tcPr>
          <w:p w14:paraId="7262CFEC" w14:textId="4DB47B7B" w:rsidR="004C4E49" w:rsidRPr="004C4E49" w:rsidRDefault="004C4E49" w:rsidP="00F44E30">
            <w:pPr>
              <w:spacing w:after="120"/>
              <w:jc w:val="center"/>
              <w:rPr>
                <w:rFonts w:asciiTheme="minorHAnsi" w:hAnsiTheme="minorHAnsi" w:cstheme="minorHAnsi"/>
                <w:sz w:val="24"/>
                <w:szCs w:val="24"/>
              </w:rPr>
            </w:pPr>
            <w:r w:rsidRPr="004C4E49">
              <w:rPr>
                <w:rFonts w:asciiTheme="minorHAnsi" w:hAnsiTheme="minorHAnsi" w:cstheme="minorHAnsi"/>
                <w:sz w:val="24"/>
                <w:szCs w:val="24"/>
              </w:rPr>
              <w:t>Solar</w:t>
            </w:r>
          </w:p>
        </w:tc>
        <w:tc>
          <w:tcPr>
            <w:tcW w:w="1317" w:type="dxa"/>
            <w:vAlign w:val="center"/>
          </w:tcPr>
          <w:p w14:paraId="53CF8C37" w14:textId="6513FBAD" w:rsidR="004C4E49" w:rsidRPr="004C4E49" w:rsidRDefault="004C4E49" w:rsidP="00F44E30">
            <w:pPr>
              <w:spacing w:after="120"/>
              <w:jc w:val="center"/>
              <w:rPr>
                <w:rFonts w:asciiTheme="minorHAnsi" w:hAnsiTheme="minorHAnsi" w:cstheme="minorHAnsi"/>
                <w:sz w:val="24"/>
                <w:szCs w:val="24"/>
              </w:rPr>
            </w:pPr>
            <w:r w:rsidRPr="004C4E49">
              <w:rPr>
                <w:rFonts w:asciiTheme="minorHAnsi" w:hAnsiTheme="minorHAnsi" w:cstheme="minorHAnsi"/>
                <w:sz w:val="24"/>
                <w:szCs w:val="24"/>
              </w:rPr>
              <w:t>Wind</w:t>
            </w:r>
          </w:p>
        </w:tc>
        <w:tc>
          <w:tcPr>
            <w:tcW w:w="1583" w:type="dxa"/>
            <w:vAlign w:val="center"/>
          </w:tcPr>
          <w:p w14:paraId="439EE38F" w14:textId="77777777" w:rsidR="004C4E49" w:rsidRPr="004C4E49" w:rsidRDefault="004C4E49" w:rsidP="00F44E30">
            <w:pPr>
              <w:spacing w:after="120"/>
              <w:jc w:val="center"/>
              <w:rPr>
                <w:rFonts w:asciiTheme="minorHAnsi" w:hAnsiTheme="minorHAnsi" w:cstheme="minorHAnsi"/>
                <w:sz w:val="24"/>
                <w:szCs w:val="24"/>
              </w:rPr>
            </w:pPr>
            <w:r w:rsidRPr="004C4E49">
              <w:rPr>
                <w:rFonts w:asciiTheme="minorHAnsi" w:hAnsiTheme="minorHAnsi" w:cstheme="minorHAnsi"/>
                <w:sz w:val="24"/>
                <w:szCs w:val="24"/>
              </w:rPr>
              <w:t>Total Production</w:t>
            </w:r>
          </w:p>
          <w:p w14:paraId="3C4EE6CF" w14:textId="3B5019A4" w:rsidR="004C4E49" w:rsidRPr="004C4E49" w:rsidRDefault="004C4E49" w:rsidP="00F44E30">
            <w:pPr>
              <w:spacing w:after="120"/>
              <w:jc w:val="center"/>
              <w:rPr>
                <w:rFonts w:asciiTheme="minorHAnsi" w:hAnsiTheme="minorHAnsi" w:cstheme="minorHAnsi"/>
                <w:sz w:val="24"/>
                <w:szCs w:val="24"/>
              </w:rPr>
            </w:pPr>
            <w:r w:rsidRPr="004C4E49">
              <w:rPr>
                <w:rFonts w:asciiTheme="minorHAnsi" w:hAnsiTheme="minorHAnsi" w:cstheme="minorHAnsi"/>
                <w:sz w:val="24"/>
                <w:szCs w:val="24"/>
              </w:rPr>
              <w:t xml:space="preserve">(Million </w:t>
            </w:r>
            <w:proofErr w:type="spellStart"/>
            <w:r w:rsidRPr="004C4E49">
              <w:rPr>
                <w:rFonts w:asciiTheme="minorHAnsi" w:hAnsiTheme="minorHAnsi" w:cstheme="minorHAnsi"/>
                <w:sz w:val="24"/>
                <w:szCs w:val="24"/>
              </w:rPr>
              <w:t>KWh</w:t>
            </w:r>
            <w:proofErr w:type="spellEnd"/>
            <w:r w:rsidRPr="004C4E49">
              <w:rPr>
                <w:rFonts w:asciiTheme="minorHAnsi" w:hAnsiTheme="minorHAnsi" w:cstheme="minorHAnsi"/>
                <w:sz w:val="24"/>
                <w:szCs w:val="24"/>
              </w:rPr>
              <w:t>)</w:t>
            </w:r>
          </w:p>
        </w:tc>
      </w:tr>
      <w:tr w:rsidR="004C4E49" w:rsidRPr="004C4E49" w14:paraId="36D592F0" w14:textId="39F965EC" w:rsidTr="004C4E49">
        <w:tc>
          <w:tcPr>
            <w:tcW w:w="1283" w:type="dxa"/>
            <w:vAlign w:val="center"/>
          </w:tcPr>
          <w:p w14:paraId="118A7A34" w14:textId="304B5887" w:rsidR="004C4E49" w:rsidRPr="004C4E49" w:rsidRDefault="004C4E49" w:rsidP="00F44E30">
            <w:pPr>
              <w:spacing w:after="120"/>
              <w:jc w:val="both"/>
              <w:rPr>
                <w:rFonts w:asciiTheme="minorHAnsi" w:hAnsiTheme="minorHAnsi" w:cstheme="minorHAnsi"/>
                <w:sz w:val="24"/>
                <w:szCs w:val="24"/>
              </w:rPr>
            </w:pPr>
            <w:r w:rsidRPr="004C4E49">
              <w:rPr>
                <w:rFonts w:asciiTheme="minorHAnsi" w:hAnsiTheme="minorHAnsi" w:cstheme="minorHAnsi"/>
                <w:sz w:val="24"/>
                <w:szCs w:val="24"/>
              </w:rPr>
              <w:t>2000</w:t>
            </w:r>
          </w:p>
        </w:tc>
        <w:tc>
          <w:tcPr>
            <w:tcW w:w="1353" w:type="dxa"/>
            <w:vAlign w:val="center"/>
          </w:tcPr>
          <w:p w14:paraId="087ED384" w14:textId="2B4C5005" w:rsidR="004C4E49" w:rsidRPr="004C4E49" w:rsidRDefault="004C4E49" w:rsidP="00F44E30">
            <w:pPr>
              <w:spacing w:after="120"/>
              <w:jc w:val="center"/>
              <w:rPr>
                <w:rFonts w:asciiTheme="minorHAnsi" w:hAnsiTheme="minorHAnsi" w:cstheme="minorHAnsi"/>
                <w:sz w:val="24"/>
                <w:szCs w:val="24"/>
              </w:rPr>
            </w:pPr>
            <w:r w:rsidRPr="004C4E49">
              <w:rPr>
                <w:rFonts w:asciiTheme="minorHAnsi" w:hAnsiTheme="minorHAnsi" w:cstheme="minorHAnsi"/>
                <w:sz w:val="24"/>
                <w:szCs w:val="24"/>
              </w:rPr>
              <w:t>51.72%</w:t>
            </w:r>
          </w:p>
        </w:tc>
        <w:tc>
          <w:tcPr>
            <w:tcW w:w="1356" w:type="dxa"/>
            <w:vAlign w:val="center"/>
          </w:tcPr>
          <w:p w14:paraId="04853264" w14:textId="0041905C" w:rsidR="004C4E49" w:rsidRPr="004C4E49" w:rsidRDefault="004C4E49" w:rsidP="00F44E30">
            <w:pPr>
              <w:spacing w:after="120"/>
              <w:jc w:val="center"/>
              <w:rPr>
                <w:rFonts w:asciiTheme="minorHAnsi" w:hAnsiTheme="minorHAnsi" w:cstheme="minorHAnsi"/>
                <w:sz w:val="24"/>
                <w:szCs w:val="24"/>
              </w:rPr>
            </w:pPr>
            <w:r w:rsidRPr="004C4E49">
              <w:rPr>
                <w:rFonts w:asciiTheme="minorHAnsi" w:hAnsiTheme="minorHAnsi" w:cstheme="minorHAnsi"/>
                <w:sz w:val="24"/>
                <w:szCs w:val="24"/>
              </w:rPr>
              <w:t>15.81%</w:t>
            </w:r>
          </w:p>
        </w:tc>
        <w:tc>
          <w:tcPr>
            <w:tcW w:w="1141" w:type="dxa"/>
            <w:vAlign w:val="center"/>
          </w:tcPr>
          <w:p w14:paraId="693B6805" w14:textId="08EEF767" w:rsidR="004C4E49" w:rsidRPr="004C4E49" w:rsidRDefault="004C4E49" w:rsidP="00F44E30">
            <w:pPr>
              <w:spacing w:after="120"/>
              <w:jc w:val="center"/>
              <w:rPr>
                <w:rFonts w:asciiTheme="minorHAnsi" w:hAnsiTheme="minorHAnsi" w:cstheme="minorHAnsi"/>
                <w:sz w:val="24"/>
                <w:szCs w:val="24"/>
              </w:rPr>
            </w:pPr>
            <w:r w:rsidRPr="004C4E49">
              <w:rPr>
                <w:rFonts w:asciiTheme="minorHAnsi" w:hAnsiTheme="minorHAnsi" w:cstheme="minorHAnsi"/>
                <w:sz w:val="24"/>
                <w:szCs w:val="24"/>
              </w:rPr>
              <w:t>19.83%</w:t>
            </w:r>
          </w:p>
        </w:tc>
        <w:tc>
          <w:tcPr>
            <w:tcW w:w="1317" w:type="dxa"/>
            <w:vAlign w:val="center"/>
          </w:tcPr>
          <w:p w14:paraId="04EAEC17" w14:textId="21021DBC" w:rsidR="004C4E49" w:rsidRPr="004C4E49" w:rsidRDefault="004C4E49" w:rsidP="00F44E30">
            <w:pPr>
              <w:spacing w:after="120"/>
              <w:jc w:val="center"/>
              <w:rPr>
                <w:rFonts w:asciiTheme="minorHAnsi" w:hAnsiTheme="minorHAnsi" w:cstheme="minorHAnsi"/>
                <w:sz w:val="24"/>
                <w:szCs w:val="24"/>
              </w:rPr>
            </w:pPr>
            <w:r w:rsidRPr="004C4E49">
              <w:rPr>
                <w:rFonts w:asciiTheme="minorHAnsi" w:hAnsiTheme="minorHAnsi" w:cstheme="minorHAnsi"/>
                <w:sz w:val="24"/>
                <w:szCs w:val="24"/>
              </w:rPr>
              <w:t>0.01%</w:t>
            </w:r>
          </w:p>
        </w:tc>
        <w:tc>
          <w:tcPr>
            <w:tcW w:w="1317" w:type="dxa"/>
            <w:vAlign w:val="center"/>
          </w:tcPr>
          <w:p w14:paraId="436FE5F4" w14:textId="3937C34E" w:rsidR="004C4E49" w:rsidRPr="004C4E49" w:rsidRDefault="004C4E49" w:rsidP="00F44E30">
            <w:pPr>
              <w:spacing w:after="120"/>
              <w:jc w:val="center"/>
              <w:rPr>
                <w:rFonts w:asciiTheme="minorHAnsi" w:hAnsiTheme="minorHAnsi" w:cstheme="minorHAnsi"/>
                <w:sz w:val="24"/>
                <w:szCs w:val="24"/>
              </w:rPr>
            </w:pPr>
            <w:r w:rsidRPr="004C4E49">
              <w:rPr>
                <w:rFonts w:asciiTheme="minorHAnsi" w:hAnsiTheme="minorHAnsi" w:cstheme="minorHAnsi"/>
                <w:sz w:val="24"/>
                <w:szCs w:val="24"/>
              </w:rPr>
              <w:t>0.15%</w:t>
            </w:r>
          </w:p>
        </w:tc>
        <w:tc>
          <w:tcPr>
            <w:tcW w:w="1583" w:type="dxa"/>
            <w:vAlign w:val="center"/>
          </w:tcPr>
          <w:p w14:paraId="2FC7D698" w14:textId="4D1A56EF" w:rsidR="004C4E49" w:rsidRPr="004C4E49" w:rsidRDefault="004C4E49" w:rsidP="00F44E30">
            <w:pPr>
              <w:spacing w:after="120"/>
              <w:jc w:val="center"/>
              <w:rPr>
                <w:rFonts w:asciiTheme="minorHAnsi" w:hAnsiTheme="minorHAnsi" w:cstheme="minorHAnsi"/>
                <w:sz w:val="24"/>
                <w:szCs w:val="24"/>
              </w:rPr>
            </w:pPr>
            <w:r w:rsidRPr="004C4E49">
              <w:rPr>
                <w:rFonts w:asciiTheme="minorHAnsi" w:hAnsiTheme="minorHAnsi" w:cstheme="minorHAnsi"/>
                <w:sz w:val="24"/>
                <w:szCs w:val="24"/>
              </w:rPr>
              <w:t>3,802,105</w:t>
            </w:r>
          </w:p>
        </w:tc>
      </w:tr>
      <w:tr w:rsidR="004C4E49" w:rsidRPr="004C4E49" w14:paraId="10AC95A7" w14:textId="2080401D" w:rsidTr="004C4E49">
        <w:tc>
          <w:tcPr>
            <w:tcW w:w="1283" w:type="dxa"/>
            <w:vAlign w:val="center"/>
          </w:tcPr>
          <w:p w14:paraId="3A72DE19" w14:textId="511C2DF8" w:rsidR="004C4E49" w:rsidRPr="004C4E49" w:rsidRDefault="004C4E49" w:rsidP="00F44E30">
            <w:pPr>
              <w:spacing w:after="120"/>
              <w:jc w:val="both"/>
              <w:rPr>
                <w:rFonts w:asciiTheme="minorHAnsi" w:hAnsiTheme="minorHAnsi" w:cstheme="minorHAnsi"/>
                <w:sz w:val="24"/>
                <w:szCs w:val="24"/>
              </w:rPr>
            </w:pPr>
            <w:r w:rsidRPr="004C4E49">
              <w:rPr>
                <w:rFonts w:asciiTheme="minorHAnsi" w:hAnsiTheme="minorHAnsi" w:cstheme="minorHAnsi"/>
                <w:sz w:val="24"/>
                <w:szCs w:val="24"/>
              </w:rPr>
              <w:t>2018</w:t>
            </w:r>
          </w:p>
        </w:tc>
        <w:tc>
          <w:tcPr>
            <w:tcW w:w="1353" w:type="dxa"/>
            <w:vAlign w:val="center"/>
          </w:tcPr>
          <w:p w14:paraId="63BF47E9" w14:textId="1B698B0C" w:rsidR="004C4E49" w:rsidRPr="004C4E49" w:rsidRDefault="004C4E49" w:rsidP="00F44E30">
            <w:pPr>
              <w:spacing w:after="120"/>
              <w:jc w:val="center"/>
              <w:rPr>
                <w:rFonts w:asciiTheme="minorHAnsi" w:hAnsiTheme="minorHAnsi" w:cstheme="minorHAnsi"/>
                <w:sz w:val="24"/>
                <w:szCs w:val="24"/>
              </w:rPr>
            </w:pPr>
            <w:r w:rsidRPr="004C4E49">
              <w:rPr>
                <w:rFonts w:asciiTheme="minorHAnsi" w:hAnsiTheme="minorHAnsi" w:cstheme="minorHAnsi"/>
                <w:sz w:val="24"/>
                <w:szCs w:val="24"/>
              </w:rPr>
              <w:t>27.44%</w:t>
            </w:r>
          </w:p>
        </w:tc>
        <w:tc>
          <w:tcPr>
            <w:tcW w:w="1356" w:type="dxa"/>
            <w:vAlign w:val="center"/>
          </w:tcPr>
          <w:p w14:paraId="3C36A5E3" w14:textId="408DFDF6" w:rsidR="004C4E49" w:rsidRPr="004C4E49" w:rsidRDefault="004C4E49" w:rsidP="00F44E30">
            <w:pPr>
              <w:spacing w:after="120"/>
              <w:jc w:val="center"/>
              <w:rPr>
                <w:rFonts w:asciiTheme="minorHAnsi" w:hAnsiTheme="minorHAnsi" w:cstheme="minorHAnsi"/>
                <w:sz w:val="24"/>
                <w:szCs w:val="24"/>
              </w:rPr>
            </w:pPr>
            <w:r w:rsidRPr="004C4E49">
              <w:rPr>
                <w:rFonts w:asciiTheme="minorHAnsi" w:hAnsiTheme="minorHAnsi" w:cstheme="minorHAnsi"/>
                <w:sz w:val="24"/>
                <w:szCs w:val="24"/>
              </w:rPr>
              <w:t>35.14%</w:t>
            </w:r>
          </w:p>
        </w:tc>
        <w:tc>
          <w:tcPr>
            <w:tcW w:w="1141" w:type="dxa"/>
            <w:vAlign w:val="center"/>
          </w:tcPr>
          <w:p w14:paraId="0CCDDB6E" w14:textId="0B946A2E" w:rsidR="004C4E49" w:rsidRPr="004C4E49" w:rsidRDefault="004C4E49" w:rsidP="00F44E30">
            <w:pPr>
              <w:spacing w:after="120"/>
              <w:jc w:val="center"/>
              <w:rPr>
                <w:rFonts w:asciiTheme="minorHAnsi" w:hAnsiTheme="minorHAnsi" w:cstheme="minorHAnsi"/>
                <w:sz w:val="24"/>
                <w:szCs w:val="24"/>
              </w:rPr>
            </w:pPr>
            <w:r w:rsidRPr="004C4E49">
              <w:rPr>
                <w:rFonts w:asciiTheme="minorHAnsi" w:hAnsiTheme="minorHAnsi" w:cstheme="minorHAnsi"/>
                <w:sz w:val="24"/>
                <w:szCs w:val="24"/>
              </w:rPr>
              <w:t>19.32%</w:t>
            </w:r>
          </w:p>
        </w:tc>
        <w:tc>
          <w:tcPr>
            <w:tcW w:w="1317" w:type="dxa"/>
            <w:vAlign w:val="center"/>
          </w:tcPr>
          <w:p w14:paraId="1786D30E" w14:textId="271286E6" w:rsidR="004C4E49" w:rsidRPr="004C4E49" w:rsidRDefault="004C4E49" w:rsidP="00F44E30">
            <w:pPr>
              <w:spacing w:after="120"/>
              <w:jc w:val="center"/>
              <w:rPr>
                <w:rFonts w:asciiTheme="minorHAnsi" w:hAnsiTheme="minorHAnsi" w:cstheme="minorHAnsi"/>
                <w:sz w:val="24"/>
                <w:szCs w:val="24"/>
              </w:rPr>
            </w:pPr>
            <w:r w:rsidRPr="004C4E49">
              <w:rPr>
                <w:rFonts w:asciiTheme="minorHAnsi" w:hAnsiTheme="minorHAnsi" w:cstheme="minorHAnsi"/>
                <w:sz w:val="24"/>
                <w:szCs w:val="24"/>
              </w:rPr>
              <w:t>1.59%</w:t>
            </w:r>
          </w:p>
        </w:tc>
        <w:tc>
          <w:tcPr>
            <w:tcW w:w="1317" w:type="dxa"/>
            <w:vAlign w:val="center"/>
          </w:tcPr>
          <w:p w14:paraId="2A5B6E8B" w14:textId="375586F7" w:rsidR="004C4E49" w:rsidRPr="004C4E49" w:rsidRDefault="004C4E49" w:rsidP="00F44E30">
            <w:pPr>
              <w:spacing w:after="120"/>
              <w:jc w:val="center"/>
              <w:rPr>
                <w:rFonts w:asciiTheme="minorHAnsi" w:hAnsiTheme="minorHAnsi" w:cstheme="minorHAnsi"/>
                <w:sz w:val="24"/>
                <w:szCs w:val="24"/>
              </w:rPr>
            </w:pPr>
            <w:r w:rsidRPr="004C4E49">
              <w:rPr>
                <w:rFonts w:asciiTheme="minorHAnsi" w:hAnsiTheme="minorHAnsi" w:cstheme="minorHAnsi"/>
                <w:sz w:val="24"/>
                <w:szCs w:val="24"/>
              </w:rPr>
              <w:t>6.58%</w:t>
            </w:r>
          </w:p>
        </w:tc>
        <w:tc>
          <w:tcPr>
            <w:tcW w:w="1583" w:type="dxa"/>
            <w:vAlign w:val="center"/>
          </w:tcPr>
          <w:p w14:paraId="73286988" w14:textId="24E41A7A" w:rsidR="004C4E49" w:rsidRPr="004C4E49" w:rsidRDefault="004C4E49" w:rsidP="00F44E30">
            <w:pPr>
              <w:jc w:val="center"/>
              <w:rPr>
                <w:rFonts w:asciiTheme="minorHAnsi" w:hAnsiTheme="minorHAnsi" w:cstheme="minorHAnsi"/>
                <w:color w:val="000000"/>
                <w:sz w:val="24"/>
                <w:szCs w:val="24"/>
              </w:rPr>
            </w:pPr>
            <w:r w:rsidRPr="004C4E49">
              <w:rPr>
                <w:rFonts w:asciiTheme="minorHAnsi" w:hAnsiTheme="minorHAnsi" w:cstheme="minorHAnsi"/>
                <w:color w:val="000000"/>
                <w:sz w:val="24"/>
                <w:szCs w:val="24"/>
              </w:rPr>
              <w:t>4,177,810</w:t>
            </w:r>
          </w:p>
        </w:tc>
      </w:tr>
    </w:tbl>
    <w:p w14:paraId="5EB7F711" w14:textId="375334DA" w:rsidR="00F44E30" w:rsidRDefault="00F44E30" w:rsidP="00915152">
      <w:pPr>
        <w:spacing w:after="120" w:line="480" w:lineRule="auto"/>
        <w:jc w:val="both"/>
        <w:rPr>
          <w:sz w:val="24"/>
          <w:szCs w:val="24"/>
        </w:rPr>
      </w:pPr>
      <w:r>
        <w:rPr>
          <w:sz w:val="24"/>
          <w:szCs w:val="24"/>
        </w:rPr>
        <w:t>Source: United States Energy Information Agency, Monthly Energy Report, October 2019.</w:t>
      </w:r>
    </w:p>
    <w:p w14:paraId="5DF0D28F" w14:textId="0782D6E4" w:rsidR="00553765" w:rsidRDefault="006C2722" w:rsidP="001D48B3">
      <w:pPr>
        <w:spacing w:after="120" w:line="480" w:lineRule="auto"/>
        <w:ind w:firstLine="720"/>
        <w:jc w:val="both"/>
        <w:rPr>
          <w:rFonts w:cstheme="minorHAnsi"/>
          <w:sz w:val="24"/>
          <w:szCs w:val="24"/>
        </w:rPr>
      </w:pPr>
      <w:r>
        <w:rPr>
          <w:sz w:val="24"/>
          <w:szCs w:val="24"/>
        </w:rPr>
        <w:t xml:space="preserve">Market conditions in Virginia are also favorable for </w:t>
      </w:r>
      <w:proofErr w:type="spellStart"/>
      <w:r>
        <w:rPr>
          <w:sz w:val="24"/>
          <w:szCs w:val="24"/>
        </w:rPr>
        <w:t>Energix’s</w:t>
      </w:r>
      <w:proofErr w:type="spellEnd"/>
      <w:r>
        <w:rPr>
          <w:sz w:val="24"/>
          <w:szCs w:val="24"/>
        </w:rPr>
        <w:t xml:space="preserve"> investment in solar</w:t>
      </w:r>
      <w:r w:rsidR="00F22691">
        <w:rPr>
          <w:sz w:val="24"/>
          <w:szCs w:val="24"/>
        </w:rPr>
        <w:t xml:space="preserve"> power generation facilities. </w:t>
      </w:r>
      <w:r w:rsidR="009379F1">
        <w:rPr>
          <w:sz w:val="24"/>
          <w:szCs w:val="24"/>
        </w:rPr>
        <w:t xml:space="preserve">While estimates vary, </w:t>
      </w:r>
      <w:r w:rsidR="00B8404C">
        <w:rPr>
          <w:sz w:val="24"/>
          <w:szCs w:val="24"/>
        </w:rPr>
        <w:t>30% to 40% of cl</w:t>
      </w:r>
      <w:r w:rsidR="009379F1">
        <w:rPr>
          <w:sz w:val="24"/>
          <w:szCs w:val="24"/>
        </w:rPr>
        <w:t xml:space="preserve">oud service providers </w:t>
      </w:r>
      <w:r w:rsidR="00061875">
        <w:rPr>
          <w:sz w:val="24"/>
          <w:szCs w:val="24"/>
        </w:rPr>
        <w:t>in the U.S. reside in Northern Virginia</w:t>
      </w:r>
      <w:r w:rsidR="00F22691">
        <w:rPr>
          <w:sz w:val="24"/>
          <w:szCs w:val="24"/>
        </w:rPr>
        <w:t>.</w:t>
      </w:r>
      <w:r w:rsidR="0090195B">
        <w:rPr>
          <w:sz w:val="24"/>
          <w:szCs w:val="24"/>
        </w:rPr>
        <w:t xml:space="preserve"> </w:t>
      </w:r>
      <w:r w:rsidR="00F22691">
        <w:rPr>
          <w:sz w:val="24"/>
          <w:szCs w:val="24"/>
        </w:rPr>
        <w:t>P</w:t>
      </w:r>
      <w:r w:rsidR="0090195B">
        <w:rPr>
          <w:sz w:val="24"/>
          <w:szCs w:val="24"/>
        </w:rPr>
        <w:t xml:space="preserve">rojections are that the number of these </w:t>
      </w:r>
      <w:r w:rsidR="00F22691">
        <w:rPr>
          <w:sz w:val="24"/>
          <w:szCs w:val="24"/>
        </w:rPr>
        <w:t xml:space="preserve">cloud service </w:t>
      </w:r>
      <w:r w:rsidR="0090195B">
        <w:rPr>
          <w:sz w:val="24"/>
          <w:szCs w:val="24"/>
        </w:rPr>
        <w:t>providers and the associated data centers will only increase in the coming future.</w:t>
      </w:r>
      <w:r w:rsidR="00061875">
        <w:rPr>
          <w:rStyle w:val="FootnoteReference"/>
          <w:sz w:val="24"/>
          <w:szCs w:val="24"/>
        </w:rPr>
        <w:footnoteReference w:id="8"/>
      </w:r>
      <w:r w:rsidR="00F22691">
        <w:rPr>
          <w:sz w:val="24"/>
          <w:szCs w:val="24"/>
        </w:rPr>
        <w:t xml:space="preserve"> Increasing population growth and economic activity will also increase the demand for electricity in Virginia over time.</w:t>
      </w:r>
      <w:r w:rsidR="001A5426" w:rsidRPr="001A5426">
        <w:rPr>
          <w:sz w:val="24"/>
          <w:szCs w:val="24"/>
        </w:rPr>
        <w:t xml:space="preserve"> </w:t>
      </w:r>
      <w:r w:rsidR="001A5426">
        <w:rPr>
          <w:sz w:val="24"/>
          <w:szCs w:val="24"/>
        </w:rPr>
        <w:t xml:space="preserve">In its 2018 annual report, </w:t>
      </w:r>
      <w:proofErr w:type="spellStart"/>
      <w:r w:rsidR="001A5426">
        <w:rPr>
          <w:sz w:val="24"/>
          <w:szCs w:val="24"/>
        </w:rPr>
        <w:t>Energix</w:t>
      </w:r>
      <w:proofErr w:type="spellEnd"/>
      <w:r w:rsidR="001A5426">
        <w:rPr>
          <w:sz w:val="24"/>
          <w:szCs w:val="24"/>
        </w:rPr>
        <w:t xml:space="preserve"> stated that it intends to expand its activities in the U.S., albeit at a </w:t>
      </w:r>
      <w:r w:rsidR="001A5426">
        <w:rPr>
          <w:sz w:val="24"/>
          <w:szCs w:val="24"/>
        </w:rPr>
        <w:lastRenderedPageBreak/>
        <w:t>moderate pace due to overall market complexity and that the U.S. is a relatively new market for the company.</w:t>
      </w:r>
      <w:r w:rsidR="001A5426">
        <w:rPr>
          <w:rStyle w:val="FootnoteReference"/>
          <w:sz w:val="24"/>
          <w:szCs w:val="24"/>
        </w:rPr>
        <w:footnoteReference w:id="9"/>
      </w:r>
      <w:r w:rsidR="001D48B3">
        <w:rPr>
          <w:sz w:val="24"/>
          <w:szCs w:val="24"/>
        </w:rPr>
        <w:t xml:space="preserve"> </w:t>
      </w:r>
      <w:r w:rsidR="00F22691">
        <w:rPr>
          <w:sz w:val="24"/>
          <w:szCs w:val="24"/>
        </w:rPr>
        <w:t xml:space="preserve">From a regulatory perspective, </w:t>
      </w:r>
      <w:proofErr w:type="spellStart"/>
      <w:r w:rsidR="00F22691">
        <w:rPr>
          <w:sz w:val="24"/>
          <w:szCs w:val="24"/>
        </w:rPr>
        <w:t>Energix</w:t>
      </w:r>
      <w:proofErr w:type="spellEnd"/>
      <w:r w:rsidR="00F22691">
        <w:rPr>
          <w:sz w:val="24"/>
          <w:szCs w:val="24"/>
        </w:rPr>
        <w:t xml:space="preserve"> </w:t>
      </w:r>
      <w:r w:rsidR="00F22691">
        <w:rPr>
          <w:rFonts w:cstheme="minorHAnsi"/>
          <w:sz w:val="24"/>
          <w:szCs w:val="24"/>
        </w:rPr>
        <w:t>credits</w:t>
      </w:r>
      <w:r w:rsidR="00553765">
        <w:rPr>
          <w:rFonts w:cstheme="minorHAnsi"/>
          <w:sz w:val="24"/>
          <w:szCs w:val="24"/>
        </w:rPr>
        <w:t xml:space="preserve"> </w:t>
      </w:r>
      <w:r w:rsidR="00915152">
        <w:rPr>
          <w:rFonts w:cstheme="minorHAnsi"/>
          <w:sz w:val="24"/>
          <w:szCs w:val="24"/>
        </w:rPr>
        <w:t>e</w:t>
      </w:r>
      <w:r w:rsidR="00915152" w:rsidRPr="000249B8">
        <w:rPr>
          <w:rFonts w:cstheme="minorHAnsi"/>
          <w:sz w:val="24"/>
          <w:szCs w:val="24"/>
        </w:rPr>
        <w:t>xisting legislation supporting the construction and operation of solar power generation projects, and</w:t>
      </w:r>
      <w:r w:rsidR="00553765">
        <w:rPr>
          <w:rFonts w:cstheme="minorHAnsi"/>
          <w:sz w:val="24"/>
          <w:szCs w:val="24"/>
        </w:rPr>
        <w:t xml:space="preserve"> </w:t>
      </w:r>
      <w:r w:rsidR="00915152">
        <w:rPr>
          <w:rFonts w:cstheme="minorHAnsi"/>
          <w:sz w:val="24"/>
          <w:szCs w:val="24"/>
        </w:rPr>
        <w:t xml:space="preserve">a </w:t>
      </w:r>
      <w:r w:rsidR="00915152" w:rsidRPr="000249B8">
        <w:rPr>
          <w:rFonts w:cstheme="minorHAnsi"/>
          <w:sz w:val="24"/>
          <w:szCs w:val="24"/>
        </w:rPr>
        <w:t>deregulated market that increases the return on investment to solar power projects.</w:t>
      </w:r>
      <w:r w:rsidR="00915152">
        <w:rPr>
          <w:rFonts w:cstheme="minorHAnsi"/>
          <w:sz w:val="24"/>
          <w:szCs w:val="24"/>
        </w:rPr>
        <w:t xml:space="preserve"> </w:t>
      </w:r>
      <w:r w:rsidR="001A5426">
        <w:rPr>
          <w:rFonts w:cstheme="minorHAnsi"/>
          <w:sz w:val="24"/>
          <w:szCs w:val="24"/>
        </w:rPr>
        <w:t>As the state government shifts its electricity demand towards renewable-based sources, the public demand signal for solar is likely to increase over time.</w:t>
      </w:r>
    </w:p>
    <w:p w14:paraId="5D11C6A7" w14:textId="27AAB024" w:rsidR="007B5A90" w:rsidRDefault="00553765" w:rsidP="007B5A90">
      <w:pPr>
        <w:spacing w:after="120" w:line="480" w:lineRule="auto"/>
        <w:jc w:val="both"/>
        <w:rPr>
          <w:rFonts w:cstheme="minorHAnsi"/>
          <w:sz w:val="24"/>
          <w:szCs w:val="24"/>
        </w:rPr>
      </w:pPr>
      <w:r>
        <w:rPr>
          <w:rFonts w:cstheme="minorHAnsi"/>
          <w:sz w:val="24"/>
          <w:szCs w:val="24"/>
        </w:rPr>
        <w:tab/>
      </w:r>
      <w:r w:rsidR="001A5426">
        <w:rPr>
          <w:rFonts w:cstheme="minorHAnsi"/>
          <w:sz w:val="24"/>
          <w:szCs w:val="24"/>
        </w:rPr>
        <w:t xml:space="preserve">Finally, </w:t>
      </w:r>
      <w:proofErr w:type="spellStart"/>
      <w:r w:rsidR="00915152">
        <w:rPr>
          <w:rFonts w:cstheme="minorHAnsi"/>
          <w:sz w:val="24"/>
          <w:szCs w:val="24"/>
        </w:rPr>
        <w:t>Energix</w:t>
      </w:r>
      <w:proofErr w:type="spellEnd"/>
      <w:r w:rsidR="00915152">
        <w:rPr>
          <w:rFonts w:cstheme="minorHAnsi"/>
          <w:sz w:val="24"/>
          <w:szCs w:val="24"/>
        </w:rPr>
        <w:t xml:space="preserve"> specifically credits </w:t>
      </w:r>
      <w:r w:rsidR="00367357">
        <w:rPr>
          <w:rFonts w:cstheme="minorHAnsi"/>
          <w:sz w:val="24"/>
          <w:szCs w:val="24"/>
        </w:rPr>
        <w:t xml:space="preserve">the </w:t>
      </w:r>
      <w:r w:rsidR="00915152">
        <w:rPr>
          <w:rFonts w:cstheme="minorHAnsi"/>
          <w:sz w:val="24"/>
          <w:szCs w:val="24"/>
        </w:rPr>
        <w:t xml:space="preserve">VIAB for introducing the firm to Virginia, connecting </w:t>
      </w:r>
      <w:proofErr w:type="spellStart"/>
      <w:r w:rsidR="00915152">
        <w:rPr>
          <w:rFonts w:cstheme="minorHAnsi"/>
          <w:sz w:val="24"/>
          <w:szCs w:val="24"/>
        </w:rPr>
        <w:t>Energix</w:t>
      </w:r>
      <w:proofErr w:type="spellEnd"/>
      <w:r w:rsidR="00915152">
        <w:rPr>
          <w:rFonts w:cstheme="minorHAnsi"/>
          <w:sz w:val="24"/>
          <w:szCs w:val="24"/>
        </w:rPr>
        <w:t xml:space="preserve"> with senior leaders in the Commonwealth, </w:t>
      </w:r>
      <w:r w:rsidR="00367357">
        <w:rPr>
          <w:rFonts w:cstheme="minorHAnsi"/>
          <w:sz w:val="24"/>
          <w:szCs w:val="24"/>
        </w:rPr>
        <w:t xml:space="preserve">and </w:t>
      </w:r>
      <w:r w:rsidR="00915152">
        <w:rPr>
          <w:rFonts w:cstheme="minorHAnsi"/>
          <w:sz w:val="24"/>
          <w:szCs w:val="24"/>
        </w:rPr>
        <w:t>brokering entries with private and public entities throughout Virginia</w:t>
      </w:r>
      <w:r w:rsidR="00367357">
        <w:rPr>
          <w:rFonts w:cstheme="minorHAnsi"/>
          <w:sz w:val="24"/>
          <w:szCs w:val="24"/>
        </w:rPr>
        <w:t xml:space="preserve">. VIAB worked with </w:t>
      </w:r>
      <w:proofErr w:type="spellStart"/>
      <w:r w:rsidR="00367357">
        <w:rPr>
          <w:rFonts w:cstheme="minorHAnsi"/>
          <w:sz w:val="24"/>
          <w:szCs w:val="24"/>
        </w:rPr>
        <w:t>Energix</w:t>
      </w:r>
      <w:proofErr w:type="spellEnd"/>
      <w:r w:rsidR="00367357">
        <w:rPr>
          <w:rFonts w:cstheme="minorHAnsi"/>
          <w:sz w:val="24"/>
          <w:szCs w:val="24"/>
        </w:rPr>
        <w:t xml:space="preserve"> to identify</w:t>
      </w:r>
      <w:r w:rsidR="00915152">
        <w:rPr>
          <w:rFonts w:cstheme="minorHAnsi"/>
          <w:sz w:val="24"/>
          <w:szCs w:val="24"/>
        </w:rPr>
        <w:t xml:space="preserve"> potential projects</w:t>
      </w:r>
      <w:r w:rsidR="00367357">
        <w:rPr>
          <w:rFonts w:cstheme="minorHAnsi"/>
          <w:sz w:val="24"/>
          <w:szCs w:val="24"/>
        </w:rPr>
        <w:t xml:space="preserve"> and locations in the Commonwealth</w:t>
      </w:r>
      <w:r w:rsidR="00915152">
        <w:rPr>
          <w:rFonts w:cstheme="minorHAnsi"/>
          <w:sz w:val="24"/>
          <w:szCs w:val="24"/>
        </w:rPr>
        <w:t xml:space="preserve">. </w:t>
      </w:r>
      <w:proofErr w:type="spellStart"/>
      <w:r w:rsidR="00915152">
        <w:rPr>
          <w:rFonts w:cstheme="minorHAnsi"/>
          <w:sz w:val="24"/>
          <w:szCs w:val="24"/>
        </w:rPr>
        <w:t>Energix</w:t>
      </w:r>
      <w:proofErr w:type="spellEnd"/>
      <w:r w:rsidR="00915152">
        <w:rPr>
          <w:rFonts w:cstheme="minorHAnsi"/>
          <w:sz w:val="24"/>
          <w:szCs w:val="24"/>
        </w:rPr>
        <w:t xml:space="preserve"> noted that VIAB facilitated the partnership between </w:t>
      </w:r>
      <w:proofErr w:type="spellStart"/>
      <w:r w:rsidR="00915152">
        <w:rPr>
          <w:rFonts w:cstheme="minorHAnsi"/>
          <w:sz w:val="24"/>
          <w:szCs w:val="24"/>
        </w:rPr>
        <w:t>Energix</w:t>
      </w:r>
      <w:proofErr w:type="spellEnd"/>
      <w:r w:rsidR="00915152">
        <w:rPr>
          <w:rFonts w:cstheme="minorHAnsi"/>
          <w:sz w:val="24"/>
          <w:szCs w:val="24"/>
        </w:rPr>
        <w:t xml:space="preserve"> and its U</w:t>
      </w:r>
      <w:r w:rsidR="004C4E49">
        <w:rPr>
          <w:rFonts w:cstheme="minorHAnsi"/>
          <w:sz w:val="24"/>
          <w:szCs w:val="24"/>
        </w:rPr>
        <w:t>.</w:t>
      </w:r>
      <w:r w:rsidR="00915152">
        <w:rPr>
          <w:rFonts w:cstheme="minorHAnsi"/>
          <w:sz w:val="24"/>
          <w:szCs w:val="24"/>
        </w:rPr>
        <w:t>S</w:t>
      </w:r>
      <w:r w:rsidR="004C4E49">
        <w:rPr>
          <w:rFonts w:cstheme="minorHAnsi"/>
          <w:sz w:val="24"/>
          <w:szCs w:val="24"/>
        </w:rPr>
        <w:t>.</w:t>
      </w:r>
      <w:r w:rsidR="00915152">
        <w:rPr>
          <w:rFonts w:cstheme="minorHAnsi"/>
          <w:sz w:val="24"/>
          <w:szCs w:val="24"/>
        </w:rPr>
        <w:t xml:space="preserve"> partner, Caden Energy.</w:t>
      </w:r>
    </w:p>
    <w:p w14:paraId="44CC2C91" w14:textId="1B4F9C32" w:rsidR="007B5A90" w:rsidRDefault="001A5426" w:rsidP="007B5A90">
      <w:pPr>
        <w:spacing w:after="120" w:line="480" w:lineRule="auto"/>
        <w:jc w:val="both"/>
        <w:rPr>
          <w:rFonts w:cstheme="minorHAnsi"/>
          <w:sz w:val="24"/>
          <w:szCs w:val="24"/>
        </w:rPr>
      </w:pPr>
      <w:r w:rsidRPr="00D34802">
        <w:rPr>
          <w:rFonts w:cstheme="minorHAnsi"/>
          <w:b/>
          <w:bCs/>
          <w:sz w:val="24"/>
          <w:szCs w:val="24"/>
        </w:rPr>
        <w:t>3.</w:t>
      </w:r>
      <w:r w:rsidRPr="00D34802">
        <w:rPr>
          <w:rFonts w:cstheme="minorHAnsi"/>
          <w:b/>
          <w:bCs/>
          <w:sz w:val="24"/>
          <w:szCs w:val="24"/>
        </w:rPr>
        <w:tab/>
      </w:r>
      <w:proofErr w:type="spellStart"/>
      <w:r w:rsidRPr="00D34802">
        <w:rPr>
          <w:rFonts w:cstheme="minorHAnsi"/>
          <w:b/>
          <w:bCs/>
          <w:sz w:val="24"/>
          <w:szCs w:val="24"/>
        </w:rPr>
        <w:t>Energix’s</w:t>
      </w:r>
      <w:proofErr w:type="spellEnd"/>
      <w:r w:rsidRPr="00D34802">
        <w:rPr>
          <w:rFonts w:cstheme="minorHAnsi"/>
          <w:b/>
          <w:bCs/>
          <w:sz w:val="24"/>
          <w:szCs w:val="24"/>
        </w:rPr>
        <w:t xml:space="preserve"> Operations in the Commonwealth</w:t>
      </w:r>
      <w:r w:rsidR="00026EFC">
        <w:rPr>
          <w:rFonts w:cstheme="minorHAnsi"/>
          <w:b/>
          <w:bCs/>
          <w:sz w:val="24"/>
          <w:szCs w:val="24"/>
        </w:rPr>
        <w:t xml:space="preserve"> of Virginia</w:t>
      </w:r>
    </w:p>
    <w:p w14:paraId="3DEC8DE4" w14:textId="417A9B1B" w:rsidR="007B5A90" w:rsidRDefault="007B5A90" w:rsidP="007B5A90">
      <w:pPr>
        <w:spacing w:after="120" w:line="480" w:lineRule="auto"/>
        <w:jc w:val="both"/>
        <w:rPr>
          <w:rFonts w:cstheme="minorHAnsi"/>
          <w:sz w:val="24"/>
          <w:szCs w:val="24"/>
        </w:rPr>
      </w:pPr>
      <w:r>
        <w:rPr>
          <w:sz w:val="24"/>
          <w:szCs w:val="24"/>
        </w:rPr>
        <w:tab/>
      </w:r>
      <w:proofErr w:type="spellStart"/>
      <w:r>
        <w:rPr>
          <w:sz w:val="24"/>
          <w:szCs w:val="24"/>
        </w:rPr>
        <w:t>Energix</w:t>
      </w:r>
      <w:proofErr w:type="spellEnd"/>
      <w:r>
        <w:rPr>
          <w:sz w:val="24"/>
          <w:szCs w:val="24"/>
        </w:rPr>
        <w:t xml:space="preserve"> is the sole managing partner in Caden </w:t>
      </w:r>
      <w:proofErr w:type="spellStart"/>
      <w:r>
        <w:rPr>
          <w:sz w:val="24"/>
          <w:szCs w:val="24"/>
        </w:rPr>
        <w:t>Energix</w:t>
      </w:r>
      <w:proofErr w:type="spellEnd"/>
      <w:r>
        <w:rPr>
          <w:sz w:val="24"/>
          <w:szCs w:val="24"/>
        </w:rPr>
        <w:t xml:space="preserve"> LLC, the partnership between </w:t>
      </w:r>
      <w:proofErr w:type="spellStart"/>
      <w:r>
        <w:rPr>
          <w:sz w:val="24"/>
          <w:szCs w:val="24"/>
        </w:rPr>
        <w:t>Energix</w:t>
      </w:r>
      <w:proofErr w:type="spellEnd"/>
      <w:r>
        <w:rPr>
          <w:sz w:val="24"/>
          <w:szCs w:val="24"/>
        </w:rPr>
        <w:t xml:space="preserve"> US LCC and Caden Energy. </w:t>
      </w:r>
      <w:proofErr w:type="spellStart"/>
      <w:r>
        <w:rPr>
          <w:sz w:val="24"/>
          <w:szCs w:val="24"/>
        </w:rPr>
        <w:t>Energix</w:t>
      </w:r>
      <w:proofErr w:type="spellEnd"/>
      <w:r>
        <w:rPr>
          <w:sz w:val="24"/>
          <w:szCs w:val="24"/>
        </w:rPr>
        <w:t xml:space="preserve"> is also the sole managing partner for the LLCs formed for each of the specific projects discussed in this section. </w:t>
      </w:r>
      <w:proofErr w:type="spellStart"/>
      <w:r>
        <w:rPr>
          <w:sz w:val="24"/>
          <w:szCs w:val="24"/>
        </w:rPr>
        <w:t>Energix</w:t>
      </w:r>
      <w:proofErr w:type="spellEnd"/>
      <w:r>
        <w:rPr>
          <w:sz w:val="24"/>
          <w:szCs w:val="24"/>
        </w:rPr>
        <w:t xml:space="preserve"> is responsible for the design, development, approval, and construction of the partnership’s solar energy production facilities throughout the Commonwealth. </w:t>
      </w:r>
      <w:proofErr w:type="spellStart"/>
      <w:r w:rsidRPr="007B5A90">
        <w:rPr>
          <w:sz w:val="24"/>
          <w:szCs w:val="24"/>
        </w:rPr>
        <w:t>Energix’s</w:t>
      </w:r>
      <w:proofErr w:type="spellEnd"/>
      <w:r w:rsidRPr="007B5A90">
        <w:rPr>
          <w:sz w:val="24"/>
          <w:szCs w:val="24"/>
        </w:rPr>
        <w:t xml:space="preserve"> proposed solar power projects will be distributed throughout the Commonwealth, including the counties of Appomattox, Campbell, Greenville, Henry, New Kent, Pittsylvania, Prince George,</w:t>
      </w:r>
      <w:r w:rsidR="000614D7">
        <w:rPr>
          <w:sz w:val="24"/>
          <w:szCs w:val="24"/>
        </w:rPr>
        <w:t xml:space="preserve"> </w:t>
      </w:r>
      <w:r w:rsidRPr="007B5A90">
        <w:rPr>
          <w:sz w:val="24"/>
          <w:szCs w:val="24"/>
        </w:rPr>
        <w:t>Rockingham</w:t>
      </w:r>
      <w:r w:rsidR="000614D7">
        <w:rPr>
          <w:sz w:val="24"/>
          <w:szCs w:val="24"/>
        </w:rPr>
        <w:t>,</w:t>
      </w:r>
      <w:r w:rsidRPr="007B5A90">
        <w:rPr>
          <w:sz w:val="24"/>
          <w:szCs w:val="24"/>
        </w:rPr>
        <w:t xml:space="preserve"> and the independent city of </w:t>
      </w:r>
      <w:r w:rsidRPr="007B5A90">
        <w:rPr>
          <w:sz w:val="24"/>
          <w:szCs w:val="24"/>
        </w:rPr>
        <w:lastRenderedPageBreak/>
        <w:t>Chesapeake.</w:t>
      </w:r>
      <w:r>
        <w:rPr>
          <w:sz w:val="24"/>
          <w:szCs w:val="24"/>
        </w:rPr>
        <w:t xml:space="preserve"> </w:t>
      </w:r>
      <w:r>
        <w:rPr>
          <w:rFonts w:cstheme="minorHAnsi"/>
          <w:sz w:val="24"/>
          <w:szCs w:val="24"/>
        </w:rPr>
        <w:t xml:space="preserve">Unlike many other solar facility development firms proposing or constructing facilities in Virginia, </w:t>
      </w:r>
      <w:proofErr w:type="spellStart"/>
      <w:r w:rsidRPr="00354926">
        <w:rPr>
          <w:rFonts w:cstheme="minorHAnsi"/>
          <w:sz w:val="24"/>
          <w:szCs w:val="24"/>
        </w:rPr>
        <w:t>Energix</w:t>
      </w:r>
      <w:proofErr w:type="spellEnd"/>
      <w:r w:rsidRPr="00354926">
        <w:rPr>
          <w:rFonts w:cstheme="minorHAnsi"/>
          <w:sz w:val="24"/>
          <w:szCs w:val="24"/>
        </w:rPr>
        <w:t xml:space="preserve"> plans to operate and maintain the solar energy production facilities.</w:t>
      </w:r>
      <w:r>
        <w:rPr>
          <w:rFonts w:cstheme="minorHAnsi"/>
          <w:sz w:val="24"/>
          <w:szCs w:val="24"/>
        </w:rPr>
        <w:t xml:space="preserve"> </w:t>
      </w:r>
    </w:p>
    <w:p w14:paraId="4EE54343" w14:textId="2B19E357" w:rsidR="007B5A90" w:rsidRPr="007B5A90" w:rsidRDefault="00667CDC" w:rsidP="00811889">
      <w:pPr>
        <w:spacing w:after="120" w:line="480" w:lineRule="auto"/>
        <w:ind w:firstLine="720"/>
        <w:jc w:val="both"/>
        <w:rPr>
          <w:rFonts w:cstheme="minorHAnsi"/>
          <w:sz w:val="24"/>
          <w:szCs w:val="24"/>
        </w:rPr>
      </w:pPr>
      <w:proofErr w:type="spellStart"/>
      <w:r>
        <w:rPr>
          <w:rFonts w:cstheme="minorHAnsi"/>
          <w:sz w:val="24"/>
          <w:szCs w:val="24"/>
        </w:rPr>
        <w:t>Energix</w:t>
      </w:r>
      <w:proofErr w:type="spellEnd"/>
      <w:r>
        <w:rPr>
          <w:rFonts w:cstheme="minorHAnsi"/>
          <w:sz w:val="24"/>
          <w:szCs w:val="24"/>
        </w:rPr>
        <w:t xml:space="preserve"> expects to complete its</w:t>
      </w:r>
      <w:r w:rsidR="00110E5E">
        <w:rPr>
          <w:rFonts w:cstheme="minorHAnsi"/>
          <w:sz w:val="24"/>
          <w:szCs w:val="24"/>
        </w:rPr>
        <w:t xml:space="preserve"> planned</w:t>
      </w:r>
      <w:r>
        <w:rPr>
          <w:rFonts w:cstheme="minorHAnsi"/>
          <w:sz w:val="24"/>
          <w:szCs w:val="24"/>
        </w:rPr>
        <w:t xml:space="preserve"> investment of $130 million by the end of the first quarter of 2020 and is also in the process of receiving approvals for other solar farm development projects. </w:t>
      </w:r>
      <w:r w:rsidR="007B5A90">
        <w:rPr>
          <w:rFonts w:cstheme="minorHAnsi"/>
          <w:sz w:val="24"/>
          <w:szCs w:val="24"/>
        </w:rPr>
        <w:t>Table 2 display</w:t>
      </w:r>
      <w:r w:rsidR="00811889">
        <w:rPr>
          <w:rFonts w:cstheme="minorHAnsi"/>
          <w:sz w:val="24"/>
          <w:szCs w:val="24"/>
        </w:rPr>
        <w:t>s</w:t>
      </w:r>
      <w:r w:rsidR="007B5A90">
        <w:rPr>
          <w:rFonts w:cstheme="minorHAnsi"/>
          <w:sz w:val="24"/>
          <w:szCs w:val="24"/>
        </w:rPr>
        <w:t xml:space="preserve"> four </w:t>
      </w:r>
      <w:proofErr w:type="spellStart"/>
      <w:r w:rsidR="007B5A90">
        <w:rPr>
          <w:rFonts w:cstheme="minorHAnsi"/>
          <w:sz w:val="24"/>
          <w:szCs w:val="24"/>
        </w:rPr>
        <w:t>Energix</w:t>
      </w:r>
      <w:proofErr w:type="spellEnd"/>
      <w:r w:rsidR="007B5A90">
        <w:rPr>
          <w:rFonts w:cstheme="minorHAnsi"/>
          <w:sz w:val="24"/>
          <w:szCs w:val="24"/>
        </w:rPr>
        <w:t xml:space="preserve"> projects that are in </w:t>
      </w:r>
      <w:r w:rsidR="00356F91">
        <w:rPr>
          <w:rFonts w:cstheme="minorHAnsi"/>
          <w:sz w:val="24"/>
          <w:szCs w:val="24"/>
        </w:rPr>
        <w:t xml:space="preserve">the </w:t>
      </w:r>
      <w:r w:rsidR="007B5A90">
        <w:rPr>
          <w:rFonts w:cstheme="minorHAnsi"/>
          <w:sz w:val="24"/>
          <w:szCs w:val="24"/>
        </w:rPr>
        <w:t>approval, pre-construction, or construction phase</w:t>
      </w:r>
      <w:r w:rsidR="004C4E49">
        <w:rPr>
          <w:rFonts w:cstheme="minorHAnsi"/>
          <w:sz w:val="24"/>
          <w:szCs w:val="24"/>
        </w:rPr>
        <w:t>s</w:t>
      </w:r>
      <w:r w:rsidR="007B5A90">
        <w:rPr>
          <w:rFonts w:cstheme="minorHAnsi"/>
          <w:sz w:val="24"/>
          <w:szCs w:val="24"/>
        </w:rPr>
        <w:t xml:space="preserve"> in Virginia.</w:t>
      </w:r>
      <w:r w:rsidR="009F460F">
        <w:rPr>
          <w:rFonts w:cstheme="minorHAnsi"/>
          <w:sz w:val="24"/>
          <w:szCs w:val="24"/>
        </w:rPr>
        <w:t xml:space="preserve"> These projects provide a measure of the breadth of </w:t>
      </w:r>
      <w:proofErr w:type="spellStart"/>
      <w:r w:rsidR="009F460F">
        <w:rPr>
          <w:rFonts w:cstheme="minorHAnsi"/>
          <w:sz w:val="24"/>
          <w:szCs w:val="24"/>
        </w:rPr>
        <w:t>Energix’s</w:t>
      </w:r>
      <w:proofErr w:type="spellEnd"/>
      <w:r w:rsidR="009F460F">
        <w:rPr>
          <w:rFonts w:cstheme="minorHAnsi"/>
          <w:sz w:val="24"/>
          <w:szCs w:val="24"/>
        </w:rPr>
        <w:t xml:space="preserve"> projects and how these projects are moving through the approval and construction process.</w:t>
      </w:r>
    </w:p>
    <w:p w14:paraId="1C1D4F29" w14:textId="07BB0036" w:rsidR="007B5A90" w:rsidRPr="00C81CB3" w:rsidRDefault="007B5A90" w:rsidP="00811889">
      <w:pPr>
        <w:pStyle w:val="ListParagraph"/>
        <w:spacing w:line="480" w:lineRule="auto"/>
        <w:ind w:left="0"/>
        <w:jc w:val="center"/>
        <w:rPr>
          <w:rFonts w:asciiTheme="minorHAnsi" w:hAnsiTheme="minorHAnsi" w:cstheme="minorHAnsi"/>
          <w:b/>
          <w:bCs/>
          <w:sz w:val="24"/>
          <w:szCs w:val="24"/>
        </w:rPr>
      </w:pPr>
      <w:r w:rsidRPr="00C81CB3">
        <w:rPr>
          <w:rFonts w:asciiTheme="minorHAnsi" w:hAnsiTheme="minorHAnsi" w:cstheme="minorHAnsi"/>
          <w:b/>
          <w:bCs/>
          <w:sz w:val="24"/>
          <w:szCs w:val="24"/>
        </w:rPr>
        <w:t xml:space="preserve">Table </w:t>
      </w:r>
      <w:r w:rsidR="00CC7699" w:rsidRPr="00C81CB3">
        <w:rPr>
          <w:rFonts w:asciiTheme="minorHAnsi" w:hAnsiTheme="minorHAnsi" w:cstheme="minorHAnsi"/>
          <w:b/>
          <w:bCs/>
          <w:sz w:val="24"/>
          <w:szCs w:val="24"/>
        </w:rPr>
        <w:t>2</w:t>
      </w:r>
    </w:p>
    <w:p w14:paraId="67E5E451" w14:textId="74A9912B" w:rsidR="007B5A90" w:rsidRPr="00C81CB3" w:rsidRDefault="00B1428E" w:rsidP="004C4E49">
      <w:pPr>
        <w:pStyle w:val="ListParagraph"/>
        <w:spacing w:line="480" w:lineRule="auto"/>
        <w:ind w:left="0"/>
        <w:jc w:val="center"/>
        <w:rPr>
          <w:rFonts w:asciiTheme="minorHAnsi" w:hAnsiTheme="minorHAnsi" w:cstheme="minorHAnsi"/>
          <w:sz w:val="24"/>
          <w:szCs w:val="24"/>
        </w:rPr>
      </w:pPr>
      <w:r w:rsidRPr="00C81CB3">
        <w:rPr>
          <w:rFonts w:asciiTheme="minorHAnsi" w:hAnsiTheme="minorHAnsi" w:cstheme="minorHAnsi"/>
          <w:b/>
          <w:bCs/>
          <w:sz w:val="24"/>
          <w:szCs w:val="24"/>
        </w:rPr>
        <w:t xml:space="preserve">Examples of </w:t>
      </w:r>
      <w:r w:rsidR="007B5A90" w:rsidRPr="00C81CB3">
        <w:rPr>
          <w:rFonts w:asciiTheme="minorHAnsi" w:hAnsiTheme="minorHAnsi" w:cstheme="minorHAnsi"/>
          <w:b/>
          <w:bCs/>
          <w:sz w:val="24"/>
          <w:szCs w:val="24"/>
        </w:rPr>
        <w:t xml:space="preserve">Caden </w:t>
      </w:r>
      <w:proofErr w:type="spellStart"/>
      <w:r w:rsidR="007B5A90" w:rsidRPr="00C81CB3">
        <w:rPr>
          <w:rFonts w:asciiTheme="minorHAnsi" w:hAnsiTheme="minorHAnsi" w:cstheme="minorHAnsi"/>
          <w:b/>
          <w:bCs/>
          <w:sz w:val="24"/>
          <w:szCs w:val="24"/>
        </w:rPr>
        <w:t>Energix</w:t>
      </w:r>
      <w:proofErr w:type="spellEnd"/>
      <w:r w:rsidR="007B5A90" w:rsidRPr="00C81CB3">
        <w:rPr>
          <w:rFonts w:asciiTheme="minorHAnsi" w:hAnsiTheme="minorHAnsi" w:cstheme="minorHAnsi"/>
          <w:b/>
          <w:bCs/>
          <w:sz w:val="24"/>
          <w:szCs w:val="24"/>
        </w:rPr>
        <w:t xml:space="preserve"> Solar Energy Projects in Virginia</w:t>
      </w:r>
    </w:p>
    <w:tbl>
      <w:tblPr>
        <w:tblStyle w:val="TableGrid"/>
        <w:tblW w:w="0" w:type="auto"/>
        <w:tblInd w:w="360" w:type="dxa"/>
        <w:tblLook w:val="04A0" w:firstRow="1" w:lastRow="0" w:firstColumn="1" w:lastColumn="0" w:noHBand="0" w:noVBand="1"/>
      </w:tblPr>
      <w:tblGrid>
        <w:gridCol w:w="2267"/>
        <w:gridCol w:w="1761"/>
        <w:gridCol w:w="1310"/>
        <w:gridCol w:w="3652"/>
      </w:tblGrid>
      <w:tr w:rsidR="007B5A90" w:rsidRPr="00C81CB3" w14:paraId="05380556" w14:textId="77777777" w:rsidTr="00356F91">
        <w:tc>
          <w:tcPr>
            <w:tcW w:w="2277" w:type="dxa"/>
          </w:tcPr>
          <w:p w14:paraId="7974D2E9" w14:textId="77777777" w:rsidR="007B5A90" w:rsidRPr="00C81CB3" w:rsidRDefault="007B5A90" w:rsidP="00356F91">
            <w:pPr>
              <w:pStyle w:val="ListParagraph"/>
              <w:ind w:left="0"/>
              <w:jc w:val="both"/>
              <w:rPr>
                <w:rFonts w:asciiTheme="minorHAnsi" w:hAnsiTheme="minorHAnsi" w:cstheme="minorHAnsi"/>
                <w:sz w:val="24"/>
                <w:szCs w:val="24"/>
              </w:rPr>
            </w:pPr>
            <w:r w:rsidRPr="00C81CB3">
              <w:rPr>
                <w:rFonts w:asciiTheme="minorHAnsi" w:hAnsiTheme="minorHAnsi" w:cstheme="minorHAnsi"/>
                <w:sz w:val="24"/>
                <w:szCs w:val="24"/>
              </w:rPr>
              <w:t>Location</w:t>
            </w:r>
          </w:p>
        </w:tc>
        <w:tc>
          <w:tcPr>
            <w:tcW w:w="1768" w:type="dxa"/>
          </w:tcPr>
          <w:p w14:paraId="11CC2C88" w14:textId="77777777" w:rsidR="007B5A90" w:rsidRPr="00C81CB3" w:rsidRDefault="007B5A90" w:rsidP="00356F91">
            <w:pPr>
              <w:pStyle w:val="ListParagraph"/>
              <w:ind w:left="0"/>
              <w:jc w:val="both"/>
              <w:rPr>
                <w:rFonts w:asciiTheme="minorHAnsi" w:hAnsiTheme="minorHAnsi" w:cstheme="minorHAnsi"/>
                <w:sz w:val="24"/>
                <w:szCs w:val="24"/>
              </w:rPr>
            </w:pPr>
            <w:r w:rsidRPr="00C81CB3">
              <w:rPr>
                <w:rFonts w:asciiTheme="minorHAnsi" w:hAnsiTheme="minorHAnsi" w:cstheme="minorHAnsi"/>
                <w:sz w:val="24"/>
                <w:szCs w:val="24"/>
              </w:rPr>
              <w:t>Investment</w:t>
            </w:r>
          </w:p>
        </w:tc>
        <w:tc>
          <w:tcPr>
            <w:tcW w:w="1260" w:type="dxa"/>
          </w:tcPr>
          <w:p w14:paraId="60D528DB" w14:textId="77777777" w:rsidR="007B5A90" w:rsidRPr="00C81CB3" w:rsidRDefault="007B5A90" w:rsidP="00356F91">
            <w:pPr>
              <w:pStyle w:val="ListParagraph"/>
              <w:ind w:left="0"/>
              <w:jc w:val="center"/>
              <w:rPr>
                <w:rFonts w:asciiTheme="minorHAnsi" w:hAnsiTheme="minorHAnsi" w:cstheme="minorHAnsi"/>
                <w:sz w:val="24"/>
                <w:szCs w:val="24"/>
              </w:rPr>
            </w:pPr>
            <w:r w:rsidRPr="00C81CB3">
              <w:rPr>
                <w:rFonts w:asciiTheme="minorHAnsi" w:hAnsiTheme="minorHAnsi" w:cstheme="minorHAnsi"/>
                <w:sz w:val="24"/>
                <w:szCs w:val="24"/>
              </w:rPr>
              <w:t>Megawatts</w:t>
            </w:r>
          </w:p>
        </w:tc>
        <w:tc>
          <w:tcPr>
            <w:tcW w:w="3685" w:type="dxa"/>
          </w:tcPr>
          <w:p w14:paraId="6C8D5663" w14:textId="77777777" w:rsidR="007B5A90" w:rsidRPr="00C81CB3" w:rsidRDefault="007B5A90" w:rsidP="00356F91">
            <w:pPr>
              <w:pStyle w:val="ListParagraph"/>
              <w:ind w:left="0"/>
              <w:jc w:val="both"/>
              <w:rPr>
                <w:rFonts w:asciiTheme="minorHAnsi" w:hAnsiTheme="minorHAnsi" w:cstheme="minorHAnsi"/>
                <w:sz w:val="24"/>
                <w:szCs w:val="24"/>
              </w:rPr>
            </w:pPr>
            <w:r w:rsidRPr="00C81CB3">
              <w:rPr>
                <w:rFonts w:asciiTheme="minorHAnsi" w:hAnsiTheme="minorHAnsi" w:cstheme="minorHAnsi"/>
                <w:sz w:val="24"/>
                <w:szCs w:val="24"/>
              </w:rPr>
              <w:t>Status</w:t>
            </w:r>
          </w:p>
        </w:tc>
      </w:tr>
      <w:tr w:rsidR="007B5A90" w:rsidRPr="00C81CB3" w14:paraId="08DC2C95" w14:textId="77777777" w:rsidTr="00356F91">
        <w:tc>
          <w:tcPr>
            <w:tcW w:w="2277" w:type="dxa"/>
          </w:tcPr>
          <w:p w14:paraId="513160F9" w14:textId="77777777" w:rsidR="007B5A90" w:rsidRPr="00C81CB3" w:rsidRDefault="007B5A90" w:rsidP="00356F91">
            <w:pPr>
              <w:pStyle w:val="ListParagraph"/>
              <w:ind w:left="0"/>
              <w:jc w:val="both"/>
              <w:rPr>
                <w:rFonts w:asciiTheme="minorHAnsi" w:hAnsiTheme="minorHAnsi" w:cstheme="minorHAnsi"/>
                <w:sz w:val="24"/>
                <w:szCs w:val="24"/>
              </w:rPr>
            </w:pPr>
            <w:r w:rsidRPr="00C81CB3">
              <w:rPr>
                <w:rFonts w:asciiTheme="minorHAnsi" w:hAnsiTheme="minorHAnsi" w:cstheme="minorHAnsi"/>
                <w:sz w:val="24"/>
                <w:szCs w:val="24"/>
              </w:rPr>
              <w:t>Appomattox</w:t>
            </w:r>
            <w:r w:rsidRPr="00C81CB3">
              <w:rPr>
                <w:rStyle w:val="FootnoteReference"/>
                <w:sz w:val="24"/>
                <w:szCs w:val="24"/>
              </w:rPr>
              <w:footnoteReference w:id="10"/>
            </w:r>
          </w:p>
        </w:tc>
        <w:tc>
          <w:tcPr>
            <w:tcW w:w="1768" w:type="dxa"/>
          </w:tcPr>
          <w:p w14:paraId="6E621B27" w14:textId="77777777" w:rsidR="007B5A90" w:rsidRPr="00C81CB3" w:rsidRDefault="007B5A90" w:rsidP="00356F91">
            <w:pPr>
              <w:pStyle w:val="ListParagraph"/>
              <w:ind w:left="0"/>
              <w:jc w:val="both"/>
              <w:rPr>
                <w:rFonts w:asciiTheme="minorHAnsi" w:hAnsiTheme="minorHAnsi" w:cstheme="minorHAnsi"/>
                <w:sz w:val="24"/>
                <w:szCs w:val="24"/>
              </w:rPr>
            </w:pPr>
            <w:r w:rsidRPr="00C81CB3">
              <w:rPr>
                <w:rFonts w:asciiTheme="minorHAnsi" w:hAnsiTheme="minorHAnsi" w:cstheme="minorHAnsi"/>
                <w:sz w:val="24"/>
                <w:szCs w:val="24"/>
              </w:rPr>
              <w:t>$60 million</w:t>
            </w:r>
          </w:p>
        </w:tc>
        <w:tc>
          <w:tcPr>
            <w:tcW w:w="1260" w:type="dxa"/>
          </w:tcPr>
          <w:p w14:paraId="44B89A2F" w14:textId="77777777" w:rsidR="007B5A90" w:rsidRPr="00C81CB3" w:rsidRDefault="007B5A90" w:rsidP="00356F91">
            <w:pPr>
              <w:pStyle w:val="ListParagraph"/>
              <w:ind w:left="0"/>
              <w:jc w:val="center"/>
              <w:rPr>
                <w:rFonts w:asciiTheme="minorHAnsi" w:hAnsiTheme="minorHAnsi" w:cstheme="minorHAnsi"/>
                <w:sz w:val="24"/>
                <w:szCs w:val="24"/>
              </w:rPr>
            </w:pPr>
            <w:r w:rsidRPr="00C81CB3">
              <w:rPr>
                <w:rFonts w:asciiTheme="minorHAnsi" w:hAnsiTheme="minorHAnsi" w:cstheme="minorHAnsi"/>
                <w:sz w:val="24"/>
                <w:szCs w:val="24"/>
              </w:rPr>
              <w:t>60 MW</w:t>
            </w:r>
          </w:p>
        </w:tc>
        <w:tc>
          <w:tcPr>
            <w:tcW w:w="3685" w:type="dxa"/>
          </w:tcPr>
          <w:p w14:paraId="78FFD004" w14:textId="77777777" w:rsidR="007B5A90" w:rsidRPr="00C81CB3" w:rsidRDefault="007B5A90" w:rsidP="00356F91">
            <w:pPr>
              <w:pStyle w:val="ListParagraph"/>
              <w:ind w:left="0"/>
              <w:jc w:val="both"/>
              <w:rPr>
                <w:rFonts w:asciiTheme="minorHAnsi" w:hAnsiTheme="minorHAnsi" w:cstheme="minorHAnsi"/>
                <w:sz w:val="24"/>
                <w:szCs w:val="24"/>
              </w:rPr>
            </w:pPr>
            <w:r w:rsidRPr="00C81CB3">
              <w:rPr>
                <w:rFonts w:asciiTheme="minorHAnsi" w:hAnsiTheme="minorHAnsi" w:cstheme="minorHAnsi"/>
                <w:sz w:val="24"/>
                <w:szCs w:val="24"/>
              </w:rPr>
              <w:t>Under Consideration</w:t>
            </w:r>
          </w:p>
        </w:tc>
      </w:tr>
      <w:tr w:rsidR="007B5A90" w:rsidRPr="00C81CB3" w14:paraId="4E895194" w14:textId="77777777" w:rsidTr="00356F91">
        <w:tc>
          <w:tcPr>
            <w:tcW w:w="2277" w:type="dxa"/>
          </w:tcPr>
          <w:p w14:paraId="01A6FED0" w14:textId="77777777" w:rsidR="007B5A90" w:rsidRPr="00C81CB3" w:rsidRDefault="007B5A90" w:rsidP="00356F91">
            <w:pPr>
              <w:pStyle w:val="ListParagraph"/>
              <w:ind w:left="0"/>
              <w:jc w:val="both"/>
              <w:rPr>
                <w:rFonts w:asciiTheme="minorHAnsi" w:hAnsiTheme="minorHAnsi" w:cstheme="minorHAnsi"/>
                <w:sz w:val="24"/>
                <w:szCs w:val="24"/>
              </w:rPr>
            </w:pPr>
            <w:r w:rsidRPr="00C81CB3">
              <w:rPr>
                <w:rFonts w:asciiTheme="minorHAnsi" w:hAnsiTheme="minorHAnsi" w:cstheme="minorHAnsi"/>
                <w:sz w:val="24"/>
                <w:szCs w:val="24"/>
              </w:rPr>
              <w:t>Chesapeake City</w:t>
            </w:r>
            <w:r w:rsidRPr="00C81CB3">
              <w:rPr>
                <w:rStyle w:val="FootnoteReference"/>
                <w:sz w:val="24"/>
                <w:szCs w:val="24"/>
              </w:rPr>
              <w:footnoteReference w:id="11"/>
            </w:r>
            <w:r w:rsidRPr="00C81CB3">
              <w:rPr>
                <w:sz w:val="24"/>
                <w:szCs w:val="24"/>
              </w:rPr>
              <w:t>,</w:t>
            </w:r>
          </w:p>
        </w:tc>
        <w:tc>
          <w:tcPr>
            <w:tcW w:w="1768" w:type="dxa"/>
          </w:tcPr>
          <w:p w14:paraId="7E8A2B41" w14:textId="77777777" w:rsidR="007B5A90" w:rsidRPr="00C81CB3" w:rsidRDefault="007B5A90" w:rsidP="00356F91">
            <w:pPr>
              <w:pStyle w:val="ListParagraph"/>
              <w:ind w:left="0"/>
              <w:jc w:val="both"/>
              <w:rPr>
                <w:rFonts w:asciiTheme="minorHAnsi" w:hAnsiTheme="minorHAnsi" w:cstheme="minorHAnsi"/>
                <w:sz w:val="24"/>
                <w:szCs w:val="24"/>
              </w:rPr>
            </w:pPr>
            <w:r w:rsidRPr="00C81CB3">
              <w:rPr>
                <w:rFonts w:asciiTheme="minorHAnsi" w:hAnsiTheme="minorHAnsi" w:cstheme="minorHAnsi"/>
                <w:sz w:val="24"/>
                <w:szCs w:val="24"/>
              </w:rPr>
              <w:t>$40 million</w:t>
            </w:r>
          </w:p>
        </w:tc>
        <w:tc>
          <w:tcPr>
            <w:tcW w:w="1260" w:type="dxa"/>
          </w:tcPr>
          <w:p w14:paraId="15AA5793" w14:textId="77777777" w:rsidR="007B5A90" w:rsidRPr="00C81CB3" w:rsidRDefault="007B5A90" w:rsidP="00356F91">
            <w:pPr>
              <w:pStyle w:val="ListParagraph"/>
              <w:ind w:left="0"/>
              <w:jc w:val="center"/>
              <w:rPr>
                <w:rFonts w:asciiTheme="minorHAnsi" w:hAnsiTheme="minorHAnsi" w:cstheme="minorHAnsi"/>
                <w:sz w:val="24"/>
                <w:szCs w:val="24"/>
              </w:rPr>
            </w:pPr>
            <w:r w:rsidRPr="00C81CB3">
              <w:rPr>
                <w:rFonts w:asciiTheme="minorHAnsi" w:hAnsiTheme="minorHAnsi" w:cstheme="minorHAnsi"/>
                <w:sz w:val="24"/>
                <w:szCs w:val="24"/>
              </w:rPr>
              <w:t>32 MW</w:t>
            </w:r>
          </w:p>
        </w:tc>
        <w:tc>
          <w:tcPr>
            <w:tcW w:w="3685" w:type="dxa"/>
          </w:tcPr>
          <w:p w14:paraId="42EE6444" w14:textId="38C6546E" w:rsidR="007B5A90" w:rsidRPr="00C81CB3" w:rsidRDefault="009F460F" w:rsidP="00356F91">
            <w:pPr>
              <w:pStyle w:val="ListParagraph"/>
              <w:ind w:left="0"/>
              <w:jc w:val="both"/>
              <w:rPr>
                <w:rFonts w:asciiTheme="minorHAnsi" w:hAnsiTheme="minorHAnsi" w:cstheme="minorHAnsi"/>
                <w:sz w:val="24"/>
                <w:szCs w:val="24"/>
              </w:rPr>
            </w:pPr>
            <w:r w:rsidRPr="00C81CB3">
              <w:rPr>
                <w:rFonts w:asciiTheme="minorHAnsi" w:hAnsiTheme="minorHAnsi" w:cstheme="minorHAnsi"/>
                <w:sz w:val="24"/>
                <w:szCs w:val="24"/>
              </w:rPr>
              <w:t>Construction Underway</w:t>
            </w:r>
          </w:p>
        </w:tc>
      </w:tr>
      <w:tr w:rsidR="007B5A90" w:rsidRPr="00C81CB3" w14:paraId="145558E1" w14:textId="77777777" w:rsidTr="00356F91">
        <w:tc>
          <w:tcPr>
            <w:tcW w:w="2277" w:type="dxa"/>
          </w:tcPr>
          <w:p w14:paraId="050B828C" w14:textId="77777777" w:rsidR="007B5A90" w:rsidRPr="00C81CB3" w:rsidRDefault="007B5A90" w:rsidP="00356F91">
            <w:pPr>
              <w:pStyle w:val="ListParagraph"/>
              <w:ind w:left="0"/>
              <w:jc w:val="both"/>
              <w:rPr>
                <w:rFonts w:asciiTheme="minorHAnsi" w:hAnsiTheme="minorHAnsi" w:cstheme="minorHAnsi"/>
                <w:sz w:val="24"/>
                <w:szCs w:val="24"/>
              </w:rPr>
            </w:pPr>
            <w:r w:rsidRPr="00C81CB3">
              <w:rPr>
                <w:rFonts w:asciiTheme="minorHAnsi" w:hAnsiTheme="minorHAnsi" w:cstheme="minorHAnsi"/>
                <w:sz w:val="24"/>
                <w:szCs w:val="24"/>
              </w:rPr>
              <w:t>Campbell County</w:t>
            </w:r>
            <w:r w:rsidRPr="00C81CB3">
              <w:rPr>
                <w:rStyle w:val="FootnoteReference"/>
                <w:sz w:val="24"/>
                <w:szCs w:val="24"/>
              </w:rPr>
              <w:footnoteReference w:id="12"/>
            </w:r>
          </w:p>
        </w:tc>
        <w:tc>
          <w:tcPr>
            <w:tcW w:w="1768" w:type="dxa"/>
          </w:tcPr>
          <w:p w14:paraId="259BD7EE" w14:textId="77777777" w:rsidR="007B5A90" w:rsidRPr="00C81CB3" w:rsidRDefault="007B5A90" w:rsidP="00356F91">
            <w:pPr>
              <w:pStyle w:val="ListParagraph"/>
              <w:ind w:left="0"/>
              <w:jc w:val="both"/>
              <w:rPr>
                <w:rFonts w:asciiTheme="minorHAnsi" w:hAnsiTheme="minorHAnsi" w:cstheme="minorHAnsi"/>
                <w:sz w:val="24"/>
                <w:szCs w:val="24"/>
              </w:rPr>
            </w:pPr>
            <w:r w:rsidRPr="00C81CB3">
              <w:rPr>
                <w:rFonts w:asciiTheme="minorHAnsi" w:hAnsiTheme="minorHAnsi" w:cstheme="minorHAnsi"/>
                <w:sz w:val="24"/>
                <w:szCs w:val="24"/>
              </w:rPr>
              <w:t>$90 million</w:t>
            </w:r>
          </w:p>
        </w:tc>
        <w:tc>
          <w:tcPr>
            <w:tcW w:w="1260" w:type="dxa"/>
          </w:tcPr>
          <w:p w14:paraId="66B7793C" w14:textId="77777777" w:rsidR="007B5A90" w:rsidRPr="00C81CB3" w:rsidRDefault="007B5A90" w:rsidP="00356F91">
            <w:pPr>
              <w:pStyle w:val="ListParagraph"/>
              <w:ind w:left="0"/>
              <w:jc w:val="center"/>
              <w:rPr>
                <w:rFonts w:asciiTheme="minorHAnsi" w:hAnsiTheme="minorHAnsi" w:cstheme="minorHAnsi"/>
                <w:sz w:val="24"/>
                <w:szCs w:val="24"/>
              </w:rPr>
            </w:pPr>
            <w:r w:rsidRPr="00C81CB3">
              <w:rPr>
                <w:rFonts w:asciiTheme="minorHAnsi" w:hAnsiTheme="minorHAnsi" w:cstheme="minorHAnsi"/>
                <w:sz w:val="24"/>
                <w:szCs w:val="24"/>
              </w:rPr>
              <w:t>60 MW</w:t>
            </w:r>
          </w:p>
        </w:tc>
        <w:tc>
          <w:tcPr>
            <w:tcW w:w="3685" w:type="dxa"/>
          </w:tcPr>
          <w:p w14:paraId="27B2E058" w14:textId="77777777" w:rsidR="007B5A90" w:rsidRPr="00C81CB3" w:rsidRDefault="007B5A90" w:rsidP="00356F91">
            <w:pPr>
              <w:pStyle w:val="ListParagraph"/>
              <w:ind w:left="0"/>
              <w:jc w:val="both"/>
              <w:rPr>
                <w:rFonts w:asciiTheme="minorHAnsi" w:hAnsiTheme="minorHAnsi" w:cstheme="minorHAnsi"/>
                <w:sz w:val="24"/>
                <w:szCs w:val="24"/>
              </w:rPr>
            </w:pPr>
            <w:r w:rsidRPr="00C81CB3">
              <w:rPr>
                <w:rFonts w:asciiTheme="minorHAnsi" w:hAnsiTheme="minorHAnsi" w:cstheme="minorHAnsi"/>
                <w:sz w:val="24"/>
                <w:szCs w:val="24"/>
              </w:rPr>
              <w:t>Approved - County Supervisors</w:t>
            </w:r>
          </w:p>
        </w:tc>
      </w:tr>
      <w:tr w:rsidR="007B5A90" w:rsidRPr="00C81CB3" w14:paraId="79939C99" w14:textId="77777777" w:rsidTr="00356F91">
        <w:tc>
          <w:tcPr>
            <w:tcW w:w="2277" w:type="dxa"/>
          </w:tcPr>
          <w:p w14:paraId="293F591A" w14:textId="77777777" w:rsidR="007B5A90" w:rsidRPr="00C81CB3" w:rsidRDefault="007B5A90" w:rsidP="00356F91">
            <w:pPr>
              <w:pStyle w:val="ListParagraph"/>
              <w:ind w:left="0"/>
              <w:jc w:val="both"/>
              <w:rPr>
                <w:rFonts w:asciiTheme="minorHAnsi" w:hAnsiTheme="minorHAnsi" w:cstheme="minorHAnsi"/>
                <w:sz w:val="24"/>
                <w:szCs w:val="24"/>
              </w:rPr>
            </w:pPr>
            <w:r w:rsidRPr="00C81CB3">
              <w:rPr>
                <w:rFonts w:asciiTheme="minorHAnsi" w:hAnsiTheme="minorHAnsi" w:cstheme="minorHAnsi"/>
                <w:sz w:val="24"/>
                <w:szCs w:val="24"/>
              </w:rPr>
              <w:t>Pittsylvania County</w:t>
            </w:r>
            <w:r w:rsidRPr="00C81CB3">
              <w:rPr>
                <w:rStyle w:val="FootnoteReference"/>
                <w:sz w:val="24"/>
                <w:szCs w:val="24"/>
              </w:rPr>
              <w:footnoteReference w:id="13"/>
            </w:r>
          </w:p>
        </w:tc>
        <w:tc>
          <w:tcPr>
            <w:tcW w:w="1768" w:type="dxa"/>
          </w:tcPr>
          <w:p w14:paraId="7E49F81C" w14:textId="77777777" w:rsidR="007B5A90" w:rsidRPr="00C81CB3" w:rsidRDefault="007B5A90" w:rsidP="00356F91">
            <w:pPr>
              <w:pStyle w:val="ListParagraph"/>
              <w:ind w:left="0"/>
              <w:jc w:val="both"/>
              <w:rPr>
                <w:rFonts w:asciiTheme="minorHAnsi" w:hAnsiTheme="minorHAnsi" w:cstheme="minorHAnsi"/>
                <w:sz w:val="24"/>
                <w:szCs w:val="24"/>
              </w:rPr>
            </w:pPr>
            <w:r w:rsidRPr="00C81CB3">
              <w:rPr>
                <w:rFonts w:asciiTheme="minorHAnsi" w:hAnsiTheme="minorHAnsi" w:cstheme="minorHAnsi"/>
                <w:sz w:val="24"/>
                <w:szCs w:val="24"/>
              </w:rPr>
              <w:t>$60 million</w:t>
            </w:r>
          </w:p>
        </w:tc>
        <w:tc>
          <w:tcPr>
            <w:tcW w:w="1260" w:type="dxa"/>
          </w:tcPr>
          <w:p w14:paraId="76C036D1" w14:textId="77777777" w:rsidR="007B5A90" w:rsidRPr="00C81CB3" w:rsidRDefault="007B5A90" w:rsidP="00356F91">
            <w:pPr>
              <w:pStyle w:val="ListParagraph"/>
              <w:ind w:left="0"/>
              <w:jc w:val="center"/>
              <w:rPr>
                <w:rFonts w:asciiTheme="minorHAnsi" w:hAnsiTheme="minorHAnsi" w:cstheme="minorHAnsi"/>
                <w:sz w:val="24"/>
                <w:szCs w:val="24"/>
              </w:rPr>
            </w:pPr>
            <w:r w:rsidRPr="00C81CB3">
              <w:rPr>
                <w:rFonts w:asciiTheme="minorHAnsi" w:hAnsiTheme="minorHAnsi" w:cstheme="minorHAnsi"/>
                <w:sz w:val="24"/>
                <w:szCs w:val="24"/>
              </w:rPr>
              <w:t>66 MW</w:t>
            </w:r>
          </w:p>
        </w:tc>
        <w:tc>
          <w:tcPr>
            <w:tcW w:w="3685" w:type="dxa"/>
          </w:tcPr>
          <w:p w14:paraId="4703D873" w14:textId="77777777" w:rsidR="007B5A90" w:rsidRPr="00C81CB3" w:rsidRDefault="007B5A90" w:rsidP="00356F91">
            <w:pPr>
              <w:pStyle w:val="ListParagraph"/>
              <w:ind w:left="0"/>
              <w:jc w:val="both"/>
              <w:rPr>
                <w:rFonts w:asciiTheme="minorHAnsi" w:hAnsiTheme="minorHAnsi" w:cstheme="minorHAnsi"/>
                <w:sz w:val="24"/>
                <w:szCs w:val="24"/>
              </w:rPr>
            </w:pPr>
            <w:r w:rsidRPr="00C81CB3">
              <w:rPr>
                <w:rFonts w:asciiTheme="minorHAnsi" w:hAnsiTheme="minorHAnsi" w:cstheme="minorHAnsi"/>
                <w:sz w:val="24"/>
                <w:szCs w:val="24"/>
              </w:rPr>
              <w:t>Approved - Planning Commission</w:t>
            </w:r>
          </w:p>
        </w:tc>
      </w:tr>
    </w:tbl>
    <w:p w14:paraId="2EEB9E35" w14:textId="77777777" w:rsidR="007B5A90" w:rsidRPr="00C81CB3" w:rsidRDefault="007B5A90" w:rsidP="007B5A90">
      <w:pPr>
        <w:pStyle w:val="ListParagraph"/>
        <w:ind w:left="360"/>
        <w:jc w:val="both"/>
        <w:rPr>
          <w:rFonts w:asciiTheme="minorHAnsi" w:hAnsiTheme="minorHAnsi" w:cstheme="minorHAnsi"/>
          <w:sz w:val="24"/>
          <w:szCs w:val="24"/>
        </w:rPr>
      </w:pPr>
    </w:p>
    <w:p w14:paraId="22919A8C" w14:textId="0B1877B3" w:rsidR="00B1428E" w:rsidRDefault="00B1428E" w:rsidP="00B1428E">
      <w:pPr>
        <w:spacing w:after="0" w:line="480" w:lineRule="auto"/>
        <w:jc w:val="both"/>
        <w:rPr>
          <w:sz w:val="24"/>
          <w:szCs w:val="24"/>
        </w:rPr>
      </w:pPr>
      <w:r w:rsidRPr="00C81CB3">
        <w:rPr>
          <w:sz w:val="24"/>
          <w:szCs w:val="24"/>
        </w:rPr>
        <w:tab/>
        <w:t xml:space="preserve">Figure 1 illustrates the scope of </w:t>
      </w:r>
      <w:proofErr w:type="spellStart"/>
      <w:r w:rsidRPr="00C81CB3">
        <w:rPr>
          <w:sz w:val="24"/>
          <w:szCs w:val="24"/>
        </w:rPr>
        <w:t>Energix’s</w:t>
      </w:r>
      <w:proofErr w:type="spellEnd"/>
      <w:r w:rsidRPr="00C81CB3">
        <w:rPr>
          <w:sz w:val="24"/>
          <w:szCs w:val="24"/>
        </w:rPr>
        <w:t xml:space="preserve"> planned investments in the Commonwealth.</w:t>
      </w:r>
      <w:r w:rsidR="009F460F" w:rsidRPr="00C81CB3">
        <w:rPr>
          <w:sz w:val="24"/>
          <w:szCs w:val="24"/>
        </w:rPr>
        <w:t xml:space="preserve"> In total, </w:t>
      </w:r>
      <w:proofErr w:type="spellStart"/>
      <w:r w:rsidR="009F460F" w:rsidRPr="00C81CB3">
        <w:rPr>
          <w:sz w:val="24"/>
          <w:szCs w:val="24"/>
        </w:rPr>
        <w:t>Energix</w:t>
      </w:r>
      <w:proofErr w:type="spellEnd"/>
      <w:r w:rsidR="009F460F" w:rsidRPr="00C81CB3">
        <w:rPr>
          <w:sz w:val="24"/>
          <w:szCs w:val="24"/>
        </w:rPr>
        <w:t xml:space="preserve"> now plans to build over 700 hundred MW of solar generating facilities throughout the Commonwealth.</w:t>
      </w:r>
      <w:r w:rsidR="009F460F" w:rsidRPr="00C81CB3">
        <w:rPr>
          <w:rFonts w:cstheme="minorHAnsi"/>
          <w:sz w:val="24"/>
          <w:szCs w:val="24"/>
        </w:rPr>
        <w:t xml:space="preserve"> It is reasonable to conclude that the estimates contained in this report likely underestimate the overall economic impact of </w:t>
      </w:r>
      <w:proofErr w:type="spellStart"/>
      <w:r w:rsidR="009F460F" w:rsidRPr="00C81CB3">
        <w:rPr>
          <w:rFonts w:cstheme="minorHAnsi"/>
          <w:sz w:val="24"/>
          <w:szCs w:val="24"/>
        </w:rPr>
        <w:t>Energix</w:t>
      </w:r>
      <w:proofErr w:type="spellEnd"/>
      <w:r w:rsidR="009F460F" w:rsidRPr="00C81CB3">
        <w:rPr>
          <w:rFonts w:cstheme="minorHAnsi"/>
          <w:sz w:val="24"/>
          <w:szCs w:val="24"/>
        </w:rPr>
        <w:t xml:space="preserve"> over the next five </w:t>
      </w:r>
      <w:r w:rsidR="009F460F">
        <w:rPr>
          <w:rFonts w:cstheme="minorHAnsi"/>
          <w:sz w:val="24"/>
          <w:szCs w:val="24"/>
        </w:rPr>
        <w:t>years. We recommend that as additional projects are approved and enter the construction phase that the estimates be updated to reflect this new information.</w:t>
      </w:r>
    </w:p>
    <w:p w14:paraId="74C96DC5" w14:textId="0F8142CE" w:rsidR="00B1428E" w:rsidRPr="00B1428E" w:rsidRDefault="00B1428E" w:rsidP="00B1428E">
      <w:pPr>
        <w:spacing w:after="0" w:line="480" w:lineRule="auto"/>
        <w:jc w:val="center"/>
        <w:rPr>
          <w:b/>
          <w:bCs/>
          <w:sz w:val="24"/>
          <w:szCs w:val="24"/>
        </w:rPr>
      </w:pPr>
      <w:r w:rsidRPr="00B1428E">
        <w:rPr>
          <w:b/>
          <w:bCs/>
          <w:sz w:val="24"/>
          <w:szCs w:val="24"/>
        </w:rPr>
        <w:lastRenderedPageBreak/>
        <w:t>Figure 1</w:t>
      </w:r>
    </w:p>
    <w:p w14:paraId="6CEC8232" w14:textId="41A5B804" w:rsidR="00B1428E" w:rsidRPr="00B1428E" w:rsidRDefault="00B1428E" w:rsidP="00B1428E">
      <w:pPr>
        <w:spacing w:after="0" w:line="480" w:lineRule="auto"/>
        <w:jc w:val="center"/>
        <w:rPr>
          <w:b/>
          <w:bCs/>
          <w:sz w:val="24"/>
          <w:szCs w:val="24"/>
        </w:rPr>
      </w:pPr>
      <w:proofErr w:type="spellStart"/>
      <w:r w:rsidRPr="00B1428E">
        <w:rPr>
          <w:b/>
          <w:bCs/>
          <w:sz w:val="24"/>
          <w:szCs w:val="24"/>
        </w:rPr>
        <w:t>Energix’s</w:t>
      </w:r>
      <w:proofErr w:type="spellEnd"/>
      <w:r w:rsidRPr="00B1428E">
        <w:rPr>
          <w:b/>
          <w:bCs/>
          <w:sz w:val="24"/>
          <w:szCs w:val="24"/>
        </w:rPr>
        <w:t xml:space="preserve"> Project Portfolio in the Commonwealth of Virginia as of February 2020</w:t>
      </w:r>
    </w:p>
    <w:p w14:paraId="792B327B" w14:textId="3639210D" w:rsidR="00B1428E" w:rsidRDefault="00B1428E" w:rsidP="00B1428E">
      <w:pPr>
        <w:spacing w:after="0" w:line="480" w:lineRule="auto"/>
        <w:jc w:val="both"/>
        <w:rPr>
          <w:sz w:val="24"/>
          <w:szCs w:val="24"/>
        </w:rPr>
      </w:pPr>
      <w:r>
        <w:rPr>
          <w:noProof/>
          <w:sz w:val="24"/>
          <w:szCs w:val="24"/>
        </w:rPr>
        <w:drawing>
          <wp:inline distT="0" distB="0" distL="0" distR="0" wp14:anchorId="3653624A" wp14:editId="46D3EA53">
            <wp:extent cx="5943600" cy="3343275"/>
            <wp:effectExtent l="0" t="0" r="0" b="9525"/>
            <wp:docPr id="5" name="Picture 5"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ergix US VA Projects Map - Jan 20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48B5D121" w14:textId="43BEE7DE" w:rsidR="00B1428E" w:rsidRDefault="00B1428E" w:rsidP="00B1428E">
      <w:pPr>
        <w:spacing w:after="0" w:line="480" w:lineRule="auto"/>
        <w:jc w:val="both"/>
        <w:rPr>
          <w:sz w:val="24"/>
          <w:szCs w:val="24"/>
        </w:rPr>
      </w:pPr>
      <w:r>
        <w:rPr>
          <w:sz w:val="24"/>
          <w:szCs w:val="24"/>
        </w:rPr>
        <w:t xml:space="preserve">Source: </w:t>
      </w:r>
      <w:proofErr w:type="spellStart"/>
      <w:r>
        <w:rPr>
          <w:sz w:val="24"/>
          <w:szCs w:val="24"/>
        </w:rPr>
        <w:t>Energix</w:t>
      </w:r>
      <w:proofErr w:type="spellEnd"/>
      <w:r>
        <w:rPr>
          <w:sz w:val="24"/>
          <w:szCs w:val="24"/>
        </w:rPr>
        <w:t xml:space="preserve"> (2020).</w:t>
      </w:r>
    </w:p>
    <w:p w14:paraId="591CE30E" w14:textId="3866BE42" w:rsidR="009F460F" w:rsidRDefault="009F460F" w:rsidP="009F460F">
      <w:pPr>
        <w:spacing w:after="0" w:line="480" w:lineRule="auto"/>
        <w:jc w:val="both"/>
        <w:rPr>
          <w:sz w:val="24"/>
          <w:szCs w:val="24"/>
        </w:rPr>
      </w:pPr>
      <w:r>
        <w:rPr>
          <w:sz w:val="24"/>
          <w:szCs w:val="24"/>
        </w:rPr>
        <w:tab/>
      </w:r>
      <w:proofErr w:type="spellStart"/>
      <w:r>
        <w:rPr>
          <w:sz w:val="24"/>
          <w:szCs w:val="24"/>
        </w:rPr>
        <w:t>Energix</w:t>
      </w:r>
      <w:proofErr w:type="spellEnd"/>
      <w:r>
        <w:rPr>
          <w:sz w:val="24"/>
          <w:szCs w:val="24"/>
        </w:rPr>
        <w:t xml:space="preserve"> is also currently expanding its existing management team in Northern Virginia. </w:t>
      </w:r>
      <w:proofErr w:type="spellStart"/>
      <w:r>
        <w:rPr>
          <w:sz w:val="24"/>
          <w:szCs w:val="24"/>
        </w:rPr>
        <w:t>Energix’s</w:t>
      </w:r>
      <w:proofErr w:type="spellEnd"/>
      <w:r>
        <w:rPr>
          <w:sz w:val="24"/>
          <w:szCs w:val="24"/>
        </w:rPr>
        <w:t xml:space="preserve"> new management positions are expected to pay more than $100,000 annually and five positions were advertised in the fall of 2019. As the solar power generation facilities are completed and enter operation, </w:t>
      </w:r>
      <w:proofErr w:type="spellStart"/>
      <w:r>
        <w:rPr>
          <w:sz w:val="24"/>
          <w:szCs w:val="24"/>
        </w:rPr>
        <w:t>Energix</w:t>
      </w:r>
      <w:proofErr w:type="spellEnd"/>
      <w:r>
        <w:rPr>
          <w:sz w:val="24"/>
          <w:szCs w:val="24"/>
        </w:rPr>
        <w:t xml:space="preserve"> will need to add permanent jobs to operate and maintain the facilities. </w:t>
      </w:r>
      <w:r w:rsidRPr="00D34802">
        <w:rPr>
          <w:sz w:val="24"/>
          <w:szCs w:val="24"/>
        </w:rPr>
        <w:t>While the Bureau of Labor Statistics does not specifically track wages in the solar energy industry, median average wages in the electrical power generation, transmission, and distribution industry group were above median average wages for Virginia in 2018.</w:t>
      </w:r>
      <w:r>
        <w:rPr>
          <w:rStyle w:val="FootnoteReference"/>
          <w:sz w:val="24"/>
          <w:szCs w:val="24"/>
        </w:rPr>
        <w:footnoteReference w:id="14"/>
      </w:r>
      <w:r w:rsidRPr="00D34802">
        <w:rPr>
          <w:sz w:val="24"/>
          <w:szCs w:val="24"/>
        </w:rPr>
        <w:t xml:space="preserve"> The </w:t>
      </w:r>
      <w:r w:rsidRPr="00D34802">
        <w:rPr>
          <w:sz w:val="24"/>
          <w:szCs w:val="24"/>
        </w:rPr>
        <w:lastRenderedPageBreak/>
        <w:t xml:space="preserve">evidence suggests that </w:t>
      </w:r>
      <w:proofErr w:type="spellStart"/>
      <w:r w:rsidRPr="00D34802">
        <w:rPr>
          <w:sz w:val="24"/>
          <w:szCs w:val="24"/>
        </w:rPr>
        <w:t>Energix’s</w:t>
      </w:r>
      <w:proofErr w:type="spellEnd"/>
      <w:r w:rsidRPr="00D34802">
        <w:rPr>
          <w:sz w:val="24"/>
          <w:szCs w:val="24"/>
        </w:rPr>
        <w:t xml:space="preserve"> investments will create an initial burst of construction jobs and then a sustained increase of skilled jobs that pay above the median wage in the Commonwealth.</w:t>
      </w:r>
    </w:p>
    <w:p w14:paraId="589DB68D" w14:textId="791CC2C7" w:rsidR="00A00A07" w:rsidRDefault="00D2078B" w:rsidP="009F460F">
      <w:pPr>
        <w:spacing w:after="0" w:line="480" w:lineRule="auto"/>
        <w:jc w:val="both"/>
        <w:rPr>
          <w:b/>
          <w:bCs/>
          <w:sz w:val="24"/>
          <w:szCs w:val="24"/>
        </w:rPr>
      </w:pPr>
      <w:r>
        <w:rPr>
          <w:b/>
          <w:bCs/>
          <w:sz w:val="24"/>
          <w:szCs w:val="24"/>
        </w:rPr>
        <w:t>Virginia’s Renewable Energy Strategy</w:t>
      </w:r>
    </w:p>
    <w:p w14:paraId="7BF82B94" w14:textId="61847E21" w:rsidR="00427961" w:rsidRDefault="00427961" w:rsidP="009F460F">
      <w:pPr>
        <w:spacing w:after="0" w:line="480" w:lineRule="auto"/>
        <w:jc w:val="both"/>
        <w:rPr>
          <w:sz w:val="24"/>
          <w:szCs w:val="24"/>
        </w:rPr>
      </w:pPr>
      <w:r>
        <w:rPr>
          <w:b/>
          <w:bCs/>
          <w:sz w:val="24"/>
          <w:szCs w:val="24"/>
        </w:rPr>
        <w:tab/>
      </w:r>
      <w:r>
        <w:rPr>
          <w:sz w:val="24"/>
          <w:szCs w:val="24"/>
        </w:rPr>
        <w:t xml:space="preserve">The </w:t>
      </w:r>
      <w:r w:rsidR="00C81CB3">
        <w:rPr>
          <w:sz w:val="24"/>
          <w:szCs w:val="24"/>
        </w:rPr>
        <w:t xml:space="preserve">global </w:t>
      </w:r>
      <w:r>
        <w:rPr>
          <w:sz w:val="24"/>
          <w:szCs w:val="24"/>
        </w:rPr>
        <w:t xml:space="preserve">energy industry has undergone significant change in recent years. </w:t>
      </w:r>
      <w:r w:rsidR="00C81CB3">
        <w:rPr>
          <w:sz w:val="24"/>
          <w:szCs w:val="24"/>
        </w:rPr>
        <w:t>Economic</w:t>
      </w:r>
      <w:r>
        <w:rPr>
          <w:sz w:val="24"/>
          <w:szCs w:val="24"/>
        </w:rPr>
        <w:t xml:space="preserve"> policy and market forces have </w:t>
      </w:r>
      <w:r w:rsidR="00BC16E6">
        <w:rPr>
          <w:sz w:val="24"/>
          <w:szCs w:val="24"/>
        </w:rPr>
        <w:t>shifted</w:t>
      </w:r>
      <w:r>
        <w:rPr>
          <w:sz w:val="24"/>
          <w:szCs w:val="24"/>
        </w:rPr>
        <w:t xml:space="preserve"> the industry towards clean and renewable energy sources. Virginia has</w:t>
      </w:r>
      <w:r w:rsidR="00533B8C">
        <w:rPr>
          <w:sz w:val="24"/>
          <w:szCs w:val="24"/>
        </w:rPr>
        <w:t xml:space="preserve"> </w:t>
      </w:r>
      <w:r>
        <w:rPr>
          <w:sz w:val="24"/>
          <w:szCs w:val="24"/>
        </w:rPr>
        <w:t xml:space="preserve">taken </w:t>
      </w:r>
      <w:r w:rsidR="00533B8C">
        <w:rPr>
          <w:sz w:val="24"/>
          <w:szCs w:val="24"/>
        </w:rPr>
        <w:t xml:space="preserve">significant steps to prioritize the transition to clean energy and </w:t>
      </w:r>
      <w:proofErr w:type="spellStart"/>
      <w:r w:rsidR="00533B8C">
        <w:rPr>
          <w:sz w:val="24"/>
          <w:szCs w:val="24"/>
        </w:rPr>
        <w:t>Energix</w:t>
      </w:r>
      <w:proofErr w:type="spellEnd"/>
      <w:r w:rsidR="00533B8C">
        <w:rPr>
          <w:sz w:val="24"/>
          <w:szCs w:val="24"/>
        </w:rPr>
        <w:t xml:space="preserve"> plays a critical role in this transformation. </w:t>
      </w:r>
    </w:p>
    <w:p w14:paraId="26AE9CBC" w14:textId="77777777" w:rsidR="00D1381D" w:rsidRDefault="00533B8C" w:rsidP="009F460F">
      <w:pPr>
        <w:spacing w:after="0" w:line="480" w:lineRule="auto"/>
        <w:jc w:val="both"/>
        <w:rPr>
          <w:sz w:val="24"/>
          <w:szCs w:val="24"/>
        </w:rPr>
      </w:pPr>
      <w:r>
        <w:rPr>
          <w:sz w:val="24"/>
          <w:szCs w:val="24"/>
        </w:rPr>
        <w:tab/>
      </w:r>
      <w:r w:rsidR="0087300C">
        <w:rPr>
          <w:sz w:val="24"/>
          <w:szCs w:val="24"/>
        </w:rPr>
        <w:t>In 2018, Virginia lawmakers passed the Grid Transformation and Security Act</w:t>
      </w:r>
      <w:r w:rsidR="00F9528E">
        <w:rPr>
          <w:sz w:val="24"/>
          <w:szCs w:val="24"/>
        </w:rPr>
        <w:t xml:space="preserve">. The bill called </w:t>
      </w:r>
      <w:r w:rsidR="0087300C">
        <w:rPr>
          <w:sz w:val="24"/>
          <w:szCs w:val="24"/>
        </w:rPr>
        <w:t>for the expansion of solar energy</w:t>
      </w:r>
      <w:r w:rsidR="00F9528E">
        <w:rPr>
          <w:sz w:val="24"/>
          <w:szCs w:val="24"/>
        </w:rPr>
        <w:t xml:space="preserve"> by</w:t>
      </w:r>
      <w:r w:rsidR="0087300C">
        <w:rPr>
          <w:sz w:val="24"/>
          <w:szCs w:val="24"/>
        </w:rPr>
        <w:t xml:space="preserve"> allow</w:t>
      </w:r>
      <w:r w:rsidR="00F9528E">
        <w:rPr>
          <w:sz w:val="24"/>
          <w:szCs w:val="24"/>
        </w:rPr>
        <w:t>ing</w:t>
      </w:r>
      <w:r w:rsidR="0087300C">
        <w:rPr>
          <w:sz w:val="24"/>
          <w:szCs w:val="24"/>
        </w:rPr>
        <w:t xml:space="preserve"> for the increased capacity </w:t>
      </w:r>
      <w:r w:rsidR="00F9528E">
        <w:rPr>
          <w:sz w:val="24"/>
          <w:szCs w:val="24"/>
        </w:rPr>
        <w:t xml:space="preserve">of </w:t>
      </w:r>
      <w:r w:rsidR="0087300C">
        <w:rPr>
          <w:sz w:val="24"/>
          <w:szCs w:val="24"/>
        </w:rPr>
        <w:t xml:space="preserve">solar facilities from 50 MW to 5,000 MW. </w:t>
      </w:r>
      <w:r>
        <w:rPr>
          <w:sz w:val="24"/>
          <w:szCs w:val="24"/>
        </w:rPr>
        <w:t xml:space="preserve">In September 2019, Governor </w:t>
      </w:r>
      <w:r w:rsidR="00C96D59">
        <w:rPr>
          <w:sz w:val="24"/>
          <w:szCs w:val="24"/>
        </w:rPr>
        <w:t>Ralph Northam signed an executive order that set ambitious new goals for the state to reach 30% renewable energy by 2030 and 100% carbon-free electricity by 2050</w:t>
      </w:r>
      <w:r w:rsidR="00D2078B">
        <w:rPr>
          <w:sz w:val="24"/>
          <w:szCs w:val="24"/>
        </w:rPr>
        <w:t>.</w:t>
      </w:r>
      <w:r w:rsidR="00D2078B">
        <w:rPr>
          <w:rStyle w:val="FootnoteReference"/>
          <w:sz w:val="24"/>
          <w:szCs w:val="24"/>
        </w:rPr>
        <w:footnoteReference w:id="15"/>
      </w:r>
      <w:r w:rsidR="00C96D59">
        <w:rPr>
          <w:sz w:val="24"/>
          <w:szCs w:val="24"/>
        </w:rPr>
        <w:t xml:space="preserve"> </w:t>
      </w:r>
      <w:r w:rsidR="00602E43">
        <w:rPr>
          <w:sz w:val="24"/>
          <w:szCs w:val="24"/>
        </w:rPr>
        <w:t>Northam has pushed these goals further, calling for 3,000 MW worth of solar and onshore wind generation by 2022.</w:t>
      </w:r>
      <w:r w:rsidR="00D2078B">
        <w:rPr>
          <w:rStyle w:val="FootnoteReference"/>
          <w:sz w:val="24"/>
          <w:szCs w:val="24"/>
        </w:rPr>
        <w:footnoteReference w:id="16"/>
      </w:r>
      <w:r w:rsidR="00CA12E3">
        <w:rPr>
          <w:sz w:val="24"/>
          <w:szCs w:val="24"/>
        </w:rPr>
        <w:t xml:space="preserve"> </w:t>
      </w:r>
    </w:p>
    <w:p w14:paraId="3CC7ED08" w14:textId="1394D798" w:rsidR="00C07D91" w:rsidRPr="0035589F" w:rsidRDefault="00D1381D" w:rsidP="009F460F">
      <w:pPr>
        <w:spacing w:after="0" w:line="480" w:lineRule="auto"/>
        <w:jc w:val="both"/>
        <w:rPr>
          <w:sz w:val="24"/>
          <w:szCs w:val="24"/>
        </w:rPr>
      </w:pPr>
      <w:r>
        <w:rPr>
          <w:sz w:val="24"/>
          <w:szCs w:val="24"/>
        </w:rPr>
        <w:tab/>
      </w:r>
      <w:proofErr w:type="spellStart"/>
      <w:r w:rsidR="00CA12E3">
        <w:rPr>
          <w:sz w:val="24"/>
          <w:szCs w:val="24"/>
        </w:rPr>
        <w:t>Energix’s</w:t>
      </w:r>
      <w:proofErr w:type="spellEnd"/>
      <w:r w:rsidR="00CA12E3">
        <w:rPr>
          <w:sz w:val="24"/>
          <w:szCs w:val="24"/>
        </w:rPr>
        <w:t xml:space="preserve"> plan to build over 700 MW of solar generating facilities throughout the Commonwealth </w:t>
      </w:r>
      <w:r w:rsidR="00623493">
        <w:rPr>
          <w:sz w:val="24"/>
          <w:szCs w:val="24"/>
        </w:rPr>
        <w:t>is</w:t>
      </w:r>
      <w:r w:rsidR="00CA12E3">
        <w:rPr>
          <w:sz w:val="24"/>
          <w:szCs w:val="24"/>
        </w:rPr>
        <w:t xml:space="preserve"> integral to achieving the goals set forth by the governor. </w:t>
      </w:r>
      <w:proofErr w:type="spellStart"/>
      <w:r w:rsidR="00BC16E6">
        <w:rPr>
          <w:sz w:val="24"/>
          <w:szCs w:val="24"/>
        </w:rPr>
        <w:t>Energix’s</w:t>
      </w:r>
      <w:proofErr w:type="spellEnd"/>
      <w:r w:rsidR="00BC16E6">
        <w:rPr>
          <w:sz w:val="24"/>
          <w:szCs w:val="24"/>
        </w:rPr>
        <w:t xml:space="preserve"> planned development of solar facilities </w:t>
      </w:r>
      <w:r w:rsidR="0035589F">
        <w:rPr>
          <w:sz w:val="24"/>
          <w:szCs w:val="24"/>
        </w:rPr>
        <w:t>in rural area</w:t>
      </w:r>
      <w:r>
        <w:rPr>
          <w:sz w:val="24"/>
          <w:szCs w:val="24"/>
        </w:rPr>
        <w:t>s</w:t>
      </w:r>
      <w:r w:rsidR="0035589F">
        <w:rPr>
          <w:sz w:val="24"/>
          <w:szCs w:val="24"/>
        </w:rPr>
        <w:t xml:space="preserve"> such as Pittsylvania county and Henry county will </w:t>
      </w:r>
      <w:r>
        <w:rPr>
          <w:sz w:val="24"/>
          <w:szCs w:val="24"/>
        </w:rPr>
        <w:t xml:space="preserve">generate </w:t>
      </w:r>
      <w:r w:rsidR="0035589F">
        <w:rPr>
          <w:sz w:val="24"/>
          <w:szCs w:val="24"/>
        </w:rPr>
        <w:t>jobs and tax revenue</w:t>
      </w:r>
      <w:r w:rsidR="00D2078B">
        <w:rPr>
          <w:sz w:val="24"/>
          <w:szCs w:val="24"/>
        </w:rPr>
        <w:t xml:space="preserve"> </w:t>
      </w:r>
      <w:r>
        <w:rPr>
          <w:sz w:val="24"/>
          <w:szCs w:val="24"/>
        </w:rPr>
        <w:t xml:space="preserve">in relatively more </w:t>
      </w:r>
      <w:r w:rsidR="00D2078B">
        <w:rPr>
          <w:sz w:val="24"/>
          <w:szCs w:val="24"/>
        </w:rPr>
        <w:t>rural areas of the Commonwealth.</w:t>
      </w:r>
      <w:r w:rsidR="00965B47">
        <w:rPr>
          <w:sz w:val="24"/>
          <w:szCs w:val="24"/>
        </w:rPr>
        <w:t xml:space="preserve"> Given the breadth of </w:t>
      </w:r>
      <w:proofErr w:type="spellStart"/>
      <w:r w:rsidR="00965B47">
        <w:rPr>
          <w:sz w:val="24"/>
          <w:szCs w:val="24"/>
        </w:rPr>
        <w:t>Energix’s</w:t>
      </w:r>
      <w:proofErr w:type="spellEnd"/>
      <w:r w:rsidR="00965B47">
        <w:rPr>
          <w:sz w:val="24"/>
          <w:szCs w:val="24"/>
        </w:rPr>
        <w:t xml:space="preserve"> investments in the Commonwealth over the next five years, its impact on the Commonwealth’s renewable energy strategy is likely to increase over time.</w:t>
      </w:r>
    </w:p>
    <w:p w14:paraId="618D0C70" w14:textId="58286FEE" w:rsidR="00D719A0" w:rsidRPr="00D719A0" w:rsidRDefault="00D719A0" w:rsidP="00B1428E">
      <w:pPr>
        <w:spacing w:after="0" w:line="480" w:lineRule="auto"/>
        <w:jc w:val="both"/>
        <w:rPr>
          <w:rFonts w:cstheme="minorHAnsi"/>
          <w:b/>
          <w:bCs/>
          <w:sz w:val="24"/>
          <w:szCs w:val="24"/>
        </w:rPr>
      </w:pPr>
      <w:r w:rsidRPr="00D719A0">
        <w:rPr>
          <w:rFonts w:cstheme="minorHAnsi"/>
          <w:b/>
          <w:bCs/>
          <w:sz w:val="24"/>
          <w:szCs w:val="24"/>
        </w:rPr>
        <w:lastRenderedPageBreak/>
        <w:t xml:space="preserve">A </w:t>
      </w:r>
      <w:r w:rsidR="00356F91">
        <w:rPr>
          <w:rFonts w:cstheme="minorHAnsi"/>
          <w:b/>
          <w:bCs/>
          <w:sz w:val="24"/>
          <w:szCs w:val="24"/>
        </w:rPr>
        <w:t xml:space="preserve">Short </w:t>
      </w:r>
      <w:r w:rsidRPr="00D719A0">
        <w:rPr>
          <w:rFonts w:cstheme="minorHAnsi"/>
          <w:b/>
          <w:bCs/>
          <w:sz w:val="24"/>
          <w:szCs w:val="24"/>
        </w:rPr>
        <w:t>Primer on Economic Impact Analysis</w:t>
      </w:r>
    </w:p>
    <w:p w14:paraId="7B2304D1" w14:textId="735355AD" w:rsidR="00D719A0" w:rsidRPr="00D719A0" w:rsidRDefault="00D719A0" w:rsidP="00D719A0">
      <w:pPr>
        <w:spacing w:after="120" w:line="480" w:lineRule="auto"/>
        <w:ind w:firstLine="360"/>
        <w:jc w:val="both"/>
        <w:rPr>
          <w:rFonts w:cstheme="minorHAnsi"/>
          <w:sz w:val="24"/>
          <w:szCs w:val="24"/>
        </w:rPr>
      </w:pPr>
      <w:r w:rsidRPr="00D719A0">
        <w:rPr>
          <w:rFonts w:cstheme="minorHAnsi"/>
          <w:sz w:val="24"/>
          <w:szCs w:val="24"/>
        </w:rPr>
        <w:tab/>
        <w:t xml:space="preserve">To estimate the impact of </w:t>
      </w:r>
      <w:proofErr w:type="spellStart"/>
      <w:r>
        <w:rPr>
          <w:rFonts w:cstheme="minorHAnsi"/>
          <w:sz w:val="24"/>
          <w:szCs w:val="24"/>
        </w:rPr>
        <w:t>Energix’s</w:t>
      </w:r>
      <w:proofErr w:type="spellEnd"/>
      <w:r>
        <w:rPr>
          <w:rFonts w:cstheme="minorHAnsi"/>
          <w:sz w:val="24"/>
          <w:szCs w:val="24"/>
        </w:rPr>
        <w:t xml:space="preserve"> investment in the construction, operation, and maintenance of solar power generation facilities in the Commonwealth of Virginia, </w:t>
      </w:r>
      <w:r w:rsidRPr="00D719A0">
        <w:rPr>
          <w:rFonts w:cstheme="minorHAnsi"/>
          <w:sz w:val="24"/>
          <w:szCs w:val="24"/>
        </w:rPr>
        <w:t>we quantify the direct, indirect</w:t>
      </w:r>
      <w:r w:rsidR="00705811">
        <w:rPr>
          <w:rFonts w:cstheme="minorHAnsi"/>
          <w:sz w:val="24"/>
          <w:szCs w:val="24"/>
        </w:rPr>
        <w:t>,</w:t>
      </w:r>
      <w:r w:rsidRPr="00D719A0">
        <w:rPr>
          <w:rFonts w:cstheme="minorHAnsi"/>
          <w:sz w:val="24"/>
          <w:szCs w:val="24"/>
        </w:rPr>
        <w:t xml:space="preserve"> and induced economic impacts. </w:t>
      </w:r>
      <w:r>
        <w:rPr>
          <w:rFonts w:cstheme="minorHAnsi"/>
          <w:sz w:val="24"/>
          <w:szCs w:val="24"/>
        </w:rPr>
        <w:t xml:space="preserve">We focus our analysis on the impact on the construction sector, the impact on the solar power generation sector, and the impact of </w:t>
      </w:r>
      <w:proofErr w:type="spellStart"/>
      <w:r>
        <w:rPr>
          <w:rFonts w:cstheme="minorHAnsi"/>
          <w:sz w:val="24"/>
          <w:szCs w:val="24"/>
        </w:rPr>
        <w:t>Energix’s</w:t>
      </w:r>
      <w:proofErr w:type="spellEnd"/>
      <w:r>
        <w:rPr>
          <w:rFonts w:cstheme="minorHAnsi"/>
          <w:sz w:val="24"/>
          <w:szCs w:val="24"/>
        </w:rPr>
        <w:t xml:space="preserve"> managerial staff.</w:t>
      </w:r>
    </w:p>
    <w:p w14:paraId="097CC7DB" w14:textId="6762F6BA" w:rsidR="00D719A0" w:rsidRPr="00D719A0" w:rsidRDefault="00D719A0" w:rsidP="00D719A0">
      <w:pPr>
        <w:spacing w:after="120" w:line="480" w:lineRule="auto"/>
        <w:ind w:firstLine="360"/>
        <w:jc w:val="both"/>
        <w:rPr>
          <w:rFonts w:cstheme="minorHAnsi"/>
          <w:sz w:val="24"/>
          <w:szCs w:val="24"/>
        </w:rPr>
      </w:pPr>
      <w:r w:rsidRPr="00D719A0">
        <w:rPr>
          <w:rFonts w:cstheme="minorHAnsi"/>
          <w:sz w:val="24"/>
          <w:szCs w:val="24"/>
        </w:rPr>
        <w:tab/>
        <w:t xml:space="preserve">To understand our approach, it is helpful to imagine a pebble dropped into a puddle of water to visualize how the economy reacts to a change in </w:t>
      </w:r>
      <w:r>
        <w:rPr>
          <w:rFonts w:cstheme="minorHAnsi"/>
          <w:sz w:val="24"/>
          <w:szCs w:val="24"/>
        </w:rPr>
        <w:t>investment in a solar power generation facility</w:t>
      </w:r>
      <w:r w:rsidRPr="00D719A0">
        <w:rPr>
          <w:rFonts w:cstheme="minorHAnsi"/>
          <w:sz w:val="24"/>
          <w:szCs w:val="24"/>
        </w:rPr>
        <w:t xml:space="preserve">. The impact represents the initial round of economic activity on output, earnings, and employment. The initial round of economic activity ripples through the rest of the economy like the waves moving through the puddle. These ripples represent the indirect and induced impacts that come about through the interconnectedness of the local economy. The indirect economic impact comes from economic activity by suppliers </w:t>
      </w:r>
      <w:r w:rsidR="00FC651B">
        <w:rPr>
          <w:rFonts w:cstheme="minorHAnsi"/>
          <w:sz w:val="24"/>
          <w:szCs w:val="24"/>
        </w:rPr>
        <w:t xml:space="preserve">to </w:t>
      </w:r>
      <w:proofErr w:type="spellStart"/>
      <w:r w:rsidR="00FC651B">
        <w:rPr>
          <w:rFonts w:cstheme="minorHAnsi"/>
          <w:sz w:val="24"/>
          <w:szCs w:val="24"/>
        </w:rPr>
        <w:t>Energix</w:t>
      </w:r>
      <w:proofErr w:type="spellEnd"/>
      <w:r w:rsidRPr="00D719A0">
        <w:rPr>
          <w:rFonts w:cstheme="minorHAnsi"/>
          <w:sz w:val="24"/>
          <w:szCs w:val="24"/>
        </w:rPr>
        <w:t xml:space="preserve">. </w:t>
      </w:r>
      <w:r w:rsidR="00AD3FCB">
        <w:rPr>
          <w:rFonts w:cstheme="minorHAnsi"/>
          <w:sz w:val="24"/>
          <w:szCs w:val="24"/>
        </w:rPr>
        <w:t>T</w:t>
      </w:r>
      <w:r w:rsidRPr="00D719A0">
        <w:rPr>
          <w:rFonts w:cstheme="minorHAnsi"/>
          <w:sz w:val="24"/>
          <w:szCs w:val="24"/>
        </w:rPr>
        <w:t xml:space="preserve">he induced impact comes from industries directly and indirectly affected by </w:t>
      </w:r>
      <w:proofErr w:type="spellStart"/>
      <w:r w:rsidR="00FC651B">
        <w:rPr>
          <w:rFonts w:cstheme="minorHAnsi"/>
          <w:sz w:val="24"/>
          <w:szCs w:val="24"/>
        </w:rPr>
        <w:t>Energix’s</w:t>
      </w:r>
      <w:proofErr w:type="spellEnd"/>
      <w:r w:rsidR="00FC651B">
        <w:rPr>
          <w:rFonts w:cstheme="minorHAnsi"/>
          <w:sz w:val="24"/>
          <w:szCs w:val="24"/>
        </w:rPr>
        <w:t xml:space="preserve"> investment in </w:t>
      </w:r>
      <w:r w:rsidR="00356F91">
        <w:rPr>
          <w:rFonts w:cstheme="minorHAnsi"/>
          <w:sz w:val="24"/>
          <w:szCs w:val="24"/>
        </w:rPr>
        <w:t>Virginia.</w:t>
      </w:r>
    </w:p>
    <w:p w14:paraId="130BCED7" w14:textId="3E34C5A3" w:rsidR="00D719A0" w:rsidRPr="00D719A0" w:rsidRDefault="00D719A0" w:rsidP="00D719A0">
      <w:pPr>
        <w:spacing w:after="120" w:line="480" w:lineRule="auto"/>
        <w:ind w:firstLine="360"/>
        <w:jc w:val="both"/>
        <w:rPr>
          <w:rFonts w:cstheme="minorHAnsi"/>
          <w:sz w:val="24"/>
          <w:szCs w:val="24"/>
        </w:rPr>
      </w:pPr>
      <w:r w:rsidRPr="00D719A0">
        <w:rPr>
          <w:rFonts w:cstheme="minorHAnsi"/>
          <w:sz w:val="24"/>
          <w:szCs w:val="24"/>
        </w:rPr>
        <w:tab/>
        <w:t>These spillovers can create a total economic impact that is larger than the direct impact. The notion of an economic multiplier summarizes the total economic impact of a change in economic activity</w:t>
      </w:r>
      <w:r w:rsidR="007E0C61">
        <w:rPr>
          <w:rFonts w:cstheme="minorHAnsi"/>
          <w:sz w:val="24"/>
          <w:szCs w:val="24"/>
        </w:rPr>
        <w:t>. If</w:t>
      </w:r>
      <w:r w:rsidRPr="00D719A0">
        <w:rPr>
          <w:rFonts w:cstheme="minorHAnsi"/>
          <w:sz w:val="24"/>
          <w:szCs w:val="24"/>
        </w:rPr>
        <w:t xml:space="preserve"> a firm </w:t>
      </w:r>
      <w:r w:rsidR="00356F91">
        <w:rPr>
          <w:rFonts w:cstheme="minorHAnsi"/>
          <w:sz w:val="24"/>
          <w:szCs w:val="24"/>
        </w:rPr>
        <w:t>invests</w:t>
      </w:r>
      <w:r w:rsidRPr="00D719A0">
        <w:rPr>
          <w:rFonts w:cstheme="minorHAnsi"/>
          <w:sz w:val="24"/>
          <w:szCs w:val="24"/>
        </w:rPr>
        <w:t xml:space="preserve"> a $1,000,000 (direct impact) that generates $300,0</w:t>
      </w:r>
      <w:r w:rsidR="00667CDC">
        <w:rPr>
          <w:rFonts w:cstheme="minorHAnsi"/>
          <w:sz w:val="24"/>
          <w:szCs w:val="24"/>
        </w:rPr>
        <w:t>0</w:t>
      </w:r>
      <w:r w:rsidRPr="00D719A0">
        <w:rPr>
          <w:rFonts w:cstheme="minorHAnsi"/>
          <w:sz w:val="24"/>
          <w:szCs w:val="24"/>
        </w:rPr>
        <w:t>0 in indirect economic impacts and $200,0</w:t>
      </w:r>
      <w:r w:rsidR="00667CDC">
        <w:rPr>
          <w:rFonts w:cstheme="minorHAnsi"/>
          <w:sz w:val="24"/>
          <w:szCs w:val="24"/>
        </w:rPr>
        <w:t>0</w:t>
      </w:r>
      <w:r w:rsidRPr="00D719A0">
        <w:rPr>
          <w:rFonts w:cstheme="minorHAnsi"/>
          <w:sz w:val="24"/>
          <w:szCs w:val="24"/>
        </w:rPr>
        <w:t xml:space="preserve">0 in induced economic impacts, then the economic impact multiplier effect is ($1,000,000 + $300,000 + $200,000) / $1,000,000 = 1.5. </w:t>
      </w:r>
    </w:p>
    <w:p w14:paraId="431737C6" w14:textId="623273F2" w:rsidR="00D54320" w:rsidRDefault="00D719A0" w:rsidP="00D54320">
      <w:pPr>
        <w:spacing w:after="120" w:line="480" w:lineRule="auto"/>
        <w:ind w:firstLine="360"/>
        <w:jc w:val="both"/>
        <w:rPr>
          <w:rFonts w:cstheme="minorHAnsi"/>
          <w:sz w:val="24"/>
          <w:szCs w:val="24"/>
        </w:rPr>
      </w:pPr>
      <w:r w:rsidRPr="00D719A0">
        <w:rPr>
          <w:rFonts w:cstheme="minorHAnsi"/>
          <w:sz w:val="24"/>
          <w:szCs w:val="24"/>
        </w:rPr>
        <w:tab/>
        <w:t>There are two important considerations when evaluating economic multipliers. First, the size of the multiplier inherently depends on how much of the economic activity continues to recycle within the region. If</w:t>
      </w:r>
      <w:r w:rsidR="00D54320">
        <w:rPr>
          <w:rFonts w:cstheme="minorHAnsi"/>
          <w:sz w:val="24"/>
          <w:szCs w:val="24"/>
        </w:rPr>
        <w:t xml:space="preserve"> a </w:t>
      </w:r>
      <w:r w:rsidRPr="00D719A0">
        <w:rPr>
          <w:rFonts w:cstheme="minorHAnsi"/>
          <w:sz w:val="24"/>
          <w:szCs w:val="24"/>
        </w:rPr>
        <w:t>firm</w:t>
      </w:r>
      <w:r w:rsidR="00D54320">
        <w:rPr>
          <w:rFonts w:cstheme="minorHAnsi"/>
          <w:sz w:val="24"/>
          <w:szCs w:val="24"/>
        </w:rPr>
        <w:t xml:space="preserve"> obtains</w:t>
      </w:r>
      <w:r w:rsidRPr="00D719A0">
        <w:rPr>
          <w:rFonts w:cstheme="minorHAnsi"/>
          <w:sz w:val="24"/>
          <w:szCs w:val="24"/>
        </w:rPr>
        <w:t xml:space="preserve"> most of </w:t>
      </w:r>
      <w:r w:rsidR="00D54320">
        <w:rPr>
          <w:rFonts w:cstheme="minorHAnsi"/>
          <w:sz w:val="24"/>
          <w:szCs w:val="24"/>
        </w:rPr>
        <w:t>its</w:t>
      </w:r>
      <w:r w:rsidRPr="00D719A0">
        <w:rPr>
          <w:rFonts w:cstheme="minorHAnsi"/>
          <w:sz w:val="24"/>
          <w:szCs w:val="24"/>
        </w:rPr>
        <w:t xml:space="preserve"> materials from outside of the region (a </w:t>
      </w:r>
      <w:r w:rsidRPr="00D719A0">
        <w:rPr>
          <w:rFonts w:cstheme="minorHAnsi"/>
          <w:sz w:val="24"/>
          <w:szCs w:val="24"/>
        </w:rPr>
        <w:lastRenderedPageBreak/>
        <w:t>“leakage”), then the actual multiplier effect will necessarily be smaller. Second, the multiplier effect, where spending spill</w:t>
      </w:r>
      <w:r w:rsidR="00273006">
        <w:rPr>
          <w:rFonts w:cstheme="minorHAnsi"/>
          <w:sz w:val="24"/>
          <w:szCs w:val="24"/>
        </w:rPr>
        <w:t xml:space="preserve">s </w:t>
      </w:r>
      <w:r w:rsidRPr="00D719A0">
        <w:rPr>
          <w:rFonts w:cstheme="minorHAnsi"/>
          <w:sz w:val="24"/>
          <w:szCs w:val="24"/>
        </w:rPr>
        <w:t>over to a variety of other sectors, is great when the direct impact is positive, however, it is equally painful when there is a reduction in direct economic activity.</w:t>
      </w:r>
      <w:r w:rsidR="007E0C61">
        <w:rPr>
          <w:rFonts w:cstheme="minorHAnsi"/>
          <w:sz w:val="24"/>
          <w:szCs w:val="24"/>
        </w:rPr>
        <w:t xml:space="preserve"> From an economic impact perspective, “new” money that is “injected” in a state has a greater economic impact than “old” money that is “redistributed” from existing spending in a state.</w:t>
      </w:r>
    </w:p>
    <w:p w14:paraId="346B96A0" w14:textId="7AE46867" w:rsidR="00D54320" w:rsidRDefault="00D54320" w:rsidP="00D54320">
      <w:pPr>
        <w:spacing w:after="120" w:line="480" w:lineRule="auto"/>
        <w:ind w:firstLine="720"/>
        <w:jc w:val="both"/>
        <w:rPr>
          <w:rFonts w:cstheme="minorHAnsi"/>
          <w:sz w:val="24"/>
          <w:szCs w:val="24"/>
        </w:rPr>
      </w:pPr>
      <w:r>
        <w:rPr>
          <w:rFonts w:cstheme="minorHAnsi"/>
          <w:sz w:val="24"/>
          <w:szCs w:val="24"/>
        </w:rPr>
        <w:t xml:space="preserve">We present dynamic estimates of the estimated total economic impact of </w:t>
      </w:r>
      <w:proofErr w:type="spellStart"/>
      <w:r>
        <w:rPr>
          <w:rFonts w:cstheme="minorHAnsi"/>
          <w:sz w:val="24"/>
          <w:szCs w:val="24"/>
        </w:rPr>
        <w:t>Energix’s</w:t>
      </w:r>
      <w:proofErr w:type="spellEnd"/>
      <w:r>
        <w:rPr>
          <w:rFonts w:cstheme="minorHAnsi"/>
          <w:sz w:val="24"/>
          <w:szCs w:val="24"/>
        </w:rPr>
        <w:t xml:space="preserve"> investment spending and projected spending in Virginia.</w:t>
      </w:r>
      <w:r>
        <w:rPr>
          <w:rStyle w:val="FootnoteReference"/>
          <w:rFonts w:cstheme="minorHAnsi"/>
          <w:sz w:val="24"/>
          <w:szCs w:val="24"/>
        </w:rPr>
        <w:footnoteReference w:id="17"/>
      </w:r>
      <w:r>
        <w:rPr>
          <w:rFonts w:cstheme="minorHAnsi"/>
          <w:sz w:val="24"/>
          <w:szCs w:val="24"/>
        </w:rPr>
        <w:t xml:space="preserve"> </w:t>
      </w:r>
      <w:r w:rsidR="00801996">
        <w:rPr>
          <w:rFonts w:cstheme="minorHAnsi"/>
          <w:sz w:val="24"/>
          <w:szCs w:val="24"/>
        </w:rPr>
        <w:t xml:space="preserve">We use </w:t>
      </w:r>
      <w:r w:rsidRPr="00D54320">
        <w:rPr>
          <w:rFonts w:cstheme="minorHAnsi"/>
          <w:sz w:val="24"/>
          <w:szCs w:val="24"/>
        </w:rPr>
        <w:t>REMI PI+ software</w:t>
      </w:r>
      <w:r w:rsidR="008F5675">
        <w:rPr>
          <w:rFonts w:cstheme="minorHAnsi"/>
          <w:sz w:val="24"/>
          <w:szCs w:val="24"/>
        </w:rPr>
        <w:t>,</w:t>
      </w:r>
      <w:r w:rsidRPr="00D54320">
        <w:rPr>
          <w:rFonts w:cstheme="minorHAnsi"/>
          <w:sz w:val="24"/>
          <w:szCs w:val="24"/>
        </w:rPr>
        <w:t xml:space="preserve"> developed by REMI</w:t>
      </w:r>
      <w:r w:rsidR="008F5675">
        <w:rPr>
          <w:rFonts w:cstheme="minorHAnsi"/>
          <w:sz w:val="24"/>
          <w:szCs w:val="24"/>
        </w:rPr>
        <w:t>,</w:t>
      </w:r>
      <w:r w:rsidR="00801996">
        <w:rPr>
          <w:rFonts w:cstheme="minorHAnsi"/>
          <w:sz w:val="24"/>
          <w:szCs w:val="24"/>
        </w:rPr>
        <w:t xml:space="preserve"> </w:t>
      </w:r>
      <w:r>
        <w:rPr>
          <w:rFonts w:cstheme="minorHAnsi"/>
          <w:sz w:val="24"/>
          <w:szCs w:val="24"/>
        </w:rPr>
        <w:t xml:space="preserve">which is </w:t>
      </w:r>
      <w:r w:rsidRPr="00D54320">
        <w:rPr>
          <w:rFonts w:cstheme="minorHAnsi"/>
          <w:sz w:val="24"/>
          <w:szCs w:val="24"/>
        </w:rPr>
        <w:t xml:space="preserve">based on regionalized input-output tables and estimates of relationships between industries. </w:t>
      </w:r>
      <w:r>
        <w:rPr>
          <w:rFonts w:cstheme="minorHAnsi"/>
          <w:sz w:val="24"/>
          <w:szCs w:val="24"/>
        </w:rPr>
        <w:t>The dynamic estimates of the estimated total economic impact apportion the investment spending and other expenditures over time. T</w:t>
      </w:r>
      <w:r w:rsidRPr="00D54320">
        <w:rPr>
          <w:rFonts w:cstheme="minorHAnsi"/>
          <w:sz w:val="24"/>
          <w:szCs w:val="24"/>
        </w:rPr>
        <w:t>he</w:t>
      </w:r>
      <w:r>
        <w:rPr>
          <w:rFonts w:cstheme="minorHAnsi"/>
          <w:sz w:val="24"/>
          <w:szCs w:val="24"/>
        </w:rPr>
        <w:t xml:space="preserve"> estimated</w:t>
      </w:r>
      <w:r w:rsidRPr="00D54320">
        <w:rPr>
          <w:rFonts w:cstheme="minorHAnsi"/>
          <w:sz w:val="24"/>
          <w:szCs w:val="24"/>
        </w:rPr>
        <w:t xml:space="preserve"> economic impacts depend </w:t>
      </w:r>
      <w:r>
        <w:rPr>
          <w:rFonts w:cstheme="minorHAnsi"/>
          <w:sz w:val="24"/>
          <w:szCs w:val="24"/>
        </w:rPr>
        <w:t xml:space="preserve">on the flow of investment and other spending. </w:t>
      </w:r>
      <w:r w:rsidRPr="00D54320">
        <w:rPr>
          <w:rFonts w:cstheme="minorHAnsi"/>
          <w:sz w:val="24"/>
          <w:szCs w:val="24"/>
        </w:rPr>
        <w:t xml:space="preserve">The dynamic estimates </w:t>
      </w:r>
      <w:r>
        <w:rPr>
          <w:rFonts w:cstheme="minorHAnsi"/>
          <w:sz w:val="24"/>
          <w:szCs w:val="24"/>
        </w:rPr>
        <w:t xml:space="preserve">also </w:t>
      </w:r>
      <w:r w:rsidRPr="00D54320">
        <w:rPr>
          <w:rFonts w:cstheme="minorHAnsi"/>
          <w:sz w:val="24"/>
          <w:szCs w:val="24"/>
        </w:rPr>
        <w:t>capture the “echo” of economic activities across time.</w:t>
      </w:r>
    </w:p>
    <w:p w14:paraId="7723499F" w14:textId="1CD6C69B" w:rsidR="00801996" w:rsidRDefault="00F864D8" w:rsidP="00801996">
      <w:pPr>
        <w:spacing w:after="120" w:line="480" w:lineRule="auto"/>
        <w:jc w:val="both"/>
        <w:rPr>
          <w:rFonts w:cstheme="minorHAnsi"/>
          <w:b/>
          <w:bCs/>
          <w:sz w:val="24"/>
          <w:szCs w:val="24"/>
        </w:rPr>
      </w:pPr>
      <w:r>
        <w:rPr>
          <w:rFonts w:cstheme="minorHAnsi"/>
          <w:b/>
          <w:bCs/>
          <w:sz w:val="24"/>
          <w:szCs w:val="24"/>
        </w:rPr>
        <w:t xml:space="preserve">Estimated Economic Impacts of </w:t>
      </w:r>
      <w:proofErr w:type="spellStart"/>
      <w:r>
        <w:rPr>
          <w:rFonts w:cstheme="minorHAnsi"/>
          <w:b/>
          <w:bCs/>
          <w:sz w:val="24"/>
          <w:szCs w:val="24"/>
        </w:rPr>
        <w:t>Energix</w:t>
      </w:r>
      <w:proofErr w:type="spellEnd"/>
    </w:p>
    <w:p w14:paraId="0ED08F70" w14:textId="2AC3F616" w:rsidR="00F864D8" w:rsidRPr="00F864D8" w:rsidRDefault="00F864D8" w:rsidP="00801996">
      <w:pPr>
        <w:spacing w:after="120" w:line="480" w:lineRule="auto"/>
        <w:jc w:val="both"/>
        <w:rPr>
          <w:rFonts w:cstheme="minorHAnsi"/>
          <w:b/>
          <w:bCs/>
          <w:i/>
          <w:iCs/>
          <w:sz w:val="24"/>
          <w:szCs w:val="24"/>
        </w:rPr>
      </w:pPr>
      <w:r>
        <w:rPr>
          <w:rFonts w:cstheme="minorHAnsi"/>
          <w:b/>
          <w:bCs/>
          <w:i/>
          <w:iCs/>
          <w:sz w:val="24"/>
          <w:szCs w:val="24"/>
        </w:rPr>
        <w:t xml:space="preserve">Estimated Economic Impact of </w:t>
      </w:r>
      <w:proofErr w:type="spellStart"/>
      <w:r>
        <w:rPr>
          <w:rFonts w:cstheme="minorHAnsi"/>
          <w:b/>
          <w:bCs/>
          <w:i/>
          <w:iCs/>
          <w:sz w:val="24"/>
          <w:szCs w:val="24"/>
        </w:rPr>
        <w:t>Energix’s</w:t>
      </w:r>
      <w:proofErr w:type="spellEnd"/>
      <w:r>
        <w:rPr>
          <w:rFonts w:cstheme="minorHAnsi"/>
          <w:b/>
          <w:bCs/>
          <w:i/>
          <w:iCs/>
          <w:sz w:val="24"/>
          <w:szCs w:val="24"/>
        </w:rPr>
        <w:t xml:space="preserve"> Solar Investment and Operations</w:t>
      </w:r>
    </w:p>
    <w:p w14:paraId="14816330" w14:textId="2547D55A" w:rsidR="00654A0A" w:rsidRDefault="00463BBF" w:rsidP="001930F5">
      <w:pPr>
        <w:spacing w:after="120" w:line="480" w:lineRule="auto"/>
        <w:jc w:val="both"/>
        <w:rPr>
          <w:rFonts w:cstheme="minorHAnsi"/>
          <w:sz w:val="24"/>
          <w:szCs w:val="24"/>
        </w:rPr>
      </w:pPr>
      <w:r>
        <w:rPr>
          <w:rFonts w:cstheme="minorHAnsi"/>
          <w:b/>
          <w:bCs/>
          <w:sz w:val="24"/>
          <w:szCs w:val="24"/>
        </w:rPr>
        <w:tab/>
      </w:r>
      <w:r>
        <w:rPr>
          <w:rFonts w:cstheme="minorHAnsi"/>
          <w:sz w:val="24"/>
          <w:szCs w:val="24"/>
        </w:rPr>
        <w:t xml:space="preserve">To estimate the total economic impact of </w:t>
      </w:r>
      <w:proofErr w:type="spellStart"/>
      <w:r>
        <w:rPr>
          <w:rFonts w:cstheme="minorHAnsi"/>
          <w:sz w:val="24"/>
          <w:szCs w:val="24"/>
        </w:rPr>
        <w:t>Energix’s</w:t>
      </w:r>
      <w:proofErr w:type="spellEnd"/>
      <w:r>
        <w:rPr>
          <w:rFonts w:cstheme="minorHAnsi"/>
          <w:sz w:val="24"/>
          <w:szCs w:val="24"/>
        </w:rPr>
        <w:t xml:space="preserve"> investment in solar power facilities</w:t>
      </w:r>
      <w:r w:rsidR="00036690">
        <w:rPr>
          <w:rFonts w:cstheme="minorHAnsi"/>
          <w:sz w:val="24"/>
          <w:szCs w:val="24"/>
        </w:rPr>
        <w:t xml:space="preserve"> in 2019 and 2020</w:t>
      </w:r>
      <w:r>
        <w:rPr>
          <w:rFonts w:cstheme="minorHAnsi"/>
          <w:sz w:val="24"/>
          <w:szCs w:val="24"/>
        </w:rPr>
        <w:t xml:space="preserve"> and its planned operation and maintenance of the facilities</w:t>
      </w:r>
      <w:r w:rsidR="00036690">
        <w:rPr>
          <w:rFonts w:cstheme="minorHAnsi"/>
          <w:sz w:val="24"/>
          <w:szCs w:val="24"/>
        </w:rPr>
        <w:t xml:space="preserve"> through 2025</w:t>
      </w:r>
      <w:r>
        <w:rPr>
          <w:rFonts w:cstheme="minorHAnsi"/>
          <w:sz w:val="24"/>
          <w:szCs w:val="24"/>
        </w:rPr>
        <w:t xml:space="preserve">, we must first ascertain the flow of investment and operating and maintenance expenditures. </w:t>
      </w:r>
      <w:r w:rsidR="00667CDC">
        <w:rPr>
          <w:rFonts w:cstheme="minorHAnsi"/>
          <w:sz w:val="24"/>
          <w:szCs w:val="24"/>
        </w:rPr>
        <w:t>Table 3 illustrates the flow of $130 million in</w:t>
      </w:r>
      <w:r>
        <w:rPr>
          <w:rFonts w:cstheme="minorHAnsi"/>
          <w:sz w:val="24"/>
          <w:szCs w:val="24"/>
        </w:rPr>
        <w:t xml:space="preserve"> investment spending into non-residential equipment in 2019 and 2020. </w:t>
      </w:r>
      <w:r w:rsidR="00667CDC">
        <w:rPr>
          <w:rFonts w:cstheme="minorHAnsi"/>
          <w:sz w:val="24"/>
          <w:szCs w:val="24"/>
        </w:rPr>
        <w:t>We assume</w:t>
      </w:r>
      <w:r w:rsidR="00654A0A">
        <w:rPr>
          <w:rFonts w:cstheme="minorHAnsi"/>
          <w:sz w:val="24"/>
          <w:szCs w:val="24"/>
        </w:rPr>
        <w:t xml:space="preserve"> that the operating and maintenance expenditures are equivalent to </w:t>
      </w:r>
      <w:r w:rsidR="00654A0A">
        <w:rPr>
          <w:rFonts w:cstheme="minorHAnsi"/>
          <w:sz w:val="24"/>
          <w:szCs w:val="24"/>
        </w:rPr>
        <w:lastRenderedPageBreak/>
        <w:t>an increase in exogenous (outside the model) industrial production</w:t>
      </w:r>
      <w:r w:rsidR="00667CDC">
        <w:rPr>
          <w:rStyle w:val="FootnoteReference"/>
          <w:rFonts w:cstheme="minorHAnsi"/>
          <w:sz w:val="24"/>
          <w:szCs w:val="24"/>
        </w:rPr>
        <w:footnoteReference w:id="18"/>
      </w:r>
      <w:r w:rsidR="00654A0A">
        <w:rPr>
          <w:rFonts w:cstheme="minorHAnsi"/>
          <w:sz w:val="24"/>
          <w:szCs w:val="24"/>
        </w:rPr>
        <w:t>, starting in 2019 and continuing throughout the duration of the analysis.</w:t>
      </w:r>
      <w:r w:rsidR="00667CDC">
        <w:rPr>
          <w:rStyle w:val="FootnoteReference"/>
          <w:rFonts w:cstheme="minorHAnsi"/>
          <w:sz w:val="24"/>
          <w:szCs w:val="24"/>
        </w:rPr>
        <w:footnoteReference w:id="19"/>
      </w:r>
      <w:r w:rsidR="00654A0A">
        <w:rPr>
          <w:rFonts w:cstheme="minorHAnsi"/>
          <w:sz w:val="24"/>
          <w:szCs w:val="24"/>
        </w:rPr>
        <w:t xml:space="preserve"> </w:t>
      </w:r>
      <w:r w:rsidR="00266F17">
        <w:rPr>
          <w:rFonts w:cstheme="minorHAnsi"/>
          <w:sz w:val="24"/>
          <w:szCs w:val="24"/>
        </w:rPr>
        <w:t>We specifically limit our analysis to the $130 million of investment</w:t>
      </w:r>
      <w:r w:rsidR="00371146">
        <w:rPr>
          <w:rFonts w:cstheme="minorHAnsi"/>
          <w:sz w:val="24"/>
          <w:szCs w:val="24"/>
        </w:rPr>
        <w:t xml:space="preserve"> in 2019 and 2020</w:t>
      </w:r>
      <w:r w:rsidR="00266F17">
        <w:rPr>
          <w:rFonts w:cstheme="minorHAnsi"/>
          <w:sz w:val="24"/>
          <w:szCs w:val="24"/>
        </w:rPr>
        <w:t xml:space="preserve">. As </w:t>
      </w:r>
      <w:proofErr w:type="spellStart"/>
      <w:r w:rsidR="00266F17">
        <w:rPr>
          <w:rFonts w:cstheme="minorHAnsi"/>
          <w:sz w:val="24"/>
          <w:szCs w:val="24"/>
        </w:rPr>
        <w:t>Energix</w:t>
      </w:r>
      <w:proofErr w:type="spellEnd"/>
      <w:r w:rsidR="00266F17">
        <w:rPr>
          <w:rFonts w:cstheme="minorHAnsi"/>
          <w:sz w:val="24"/>
          <w:szCs w:val="24"/>
        </w:rPr>
        <w:t xml:space="preserve"> </w:t>
      </w:r>
      <w:r w:rsidR="00371146">
        <w:rPr>
          <w:rFonts w:cstheme="minorHAnsi"/>
          <w:sz w:val="24"/>
          <w:szCs w:val="24"/>
        </w:rPr>
        <w:t>places more projects in the approval and construction pipeline, the estimated economic impact will invariably increase.</w:t>
      </w:r>
    </w:p>
    <w:p w14:paraId="3FB2B6FC" w14:textId="77777777" w:rsidR="00667CDC" w:rsidRDefault="00667CDC" w:rsidP="001930F5">
      <w:pPr>
        <w:spacing w:after="0" w:line="480" w:lineRule="auto"/>
        <w:jc w:val="center"/>
        <w:rPr>
          <w:rFonts w:cstheme="minorHAnsi"/>
          <w:sz w:val="24"/>
          <w:szCs w:val="24"/>
        </w:rPr>
      </w:pPr>
      <w:r w:rsidRPr="00FC0325">
        <w:rPr>
          <w:rFonts w:cstheme="minorHAnsi"/>
          <w:b/>
          <w:sz w:val="24"/>
          <w:szCs w:val="24"/>
        </w:rPr>
        <w:t xml:space="preserve">Table </w:t>
      </w:r>
      <w:r>
        <w:rPr>
          <w:rFonts w:cstheme="minorHAnsi"/>
          <w:b/>
          <w:sz w:val="24"/>
          <w:szCs w:val="24"/>
        </w:rPr>
        <w:t>3</w:t>
      </w:r>
    </w:p>
    <w:p w14:paraId="4622B731" w14:textId="44429B2E" w:rsidR="00667CDC" w:rsidRPr="00967BC1" w:rsidRDefault="00667CDC" w:rsidP="001930F5">
      <w:pPr>
        <w:spacing w:after="0" w:line="480" w:lineRule="auto"/>
        <w:jc w:val="center"/>
        <w:rPr>
          <w:rFonts w:cstheme="minorHAnsi"/>
          <w:sz w:val="24"/>
          <w:szCs w:val="24"/>
        </w:rPr>
      </w:pPr>
      <w:r>
        <w:rPr>
          <w:rFonts w:cstheme="minorHAnsi"/>
          <w:b/>
          <w:sz w:val="24"/>
          <w:szCs w:val="24"/>
        </w:rPr>
        <w:t>Estimated Investment and Operating Expenditures</w:t>
      </w:r>
    </w:p>
    <w:p w14:paraId="3CDA9DE1" w14:textId="6B5AC410" w:rsidR="00667CDC" w:rsidRDefault="00667CDC" w:rsidP="001930F5">
      <w:pPr>
        <w:spacing w:after="0" w:line="480" w:lineRule="auto"/>
        <w:jc w:val="center"/>
        <w:rPr>
          <w:rFonts w:cstheme="minorHAnsi"/>
          <w:b/>
          <w:sz w:val="24"/>
          <w:szCs w:val="24"/>
        </w:rPr>
      </w:pPr>
      <w:proofErr w:type="spellStart"/>
      <w:r w:rsidRPr="00967BC1">
        <w:rPr>
          <w:rFonts w:cstheme="minorHAnsi"/>
          <w:b/>
          <w:sz w:val="24"/>
          <w:szCs w:val="24"/>
        </w:rPr>
        <w:t>Energix</w:t>
      </w:r>
      <w:proofErr w:type="spellEnd"/>
      <w:r w:rsidRPr="00967BC1">
        <w:rPr>
          <w:rFonts w:cstheme="minorHAnsi"/>
          <w:b/>
          <w:sz w:val="24"/>
          <w:szCs w:val="24"/>
        </w:rPr>
        <w:t xml:space="preserve"> </w:t>
      </w:r>
      <w:r>
        <w:rPr>
          <w:rFonts w:cstheme="minorHAnsi"/>
          <w:b/>
          <w:sz w:val="24"/>
          <w:szCs w:val="24"/>
        </w:rPr>
        <w:t xml:space="preserve">Solar Farm Facilities in the </w:t>
      </w:r>
      <w:r w:rsidRPr="00967BC1">
        <w:rPr>
          <w:rFonts w:cstheme="minorHAnsi"/>
          <w:b/>
          <w:sz w:val="24"/>
          <w:szCs w:val="24"/>
        </w:rPr>
        <w:t>Commonwealth of Virginia</w:t>
      </w:r>
    </w:p>
    <w:p w14:paraId="14207767" w14:textId="604B0D8C" w:rsidR="00667CDC" w:rsidRDefault="00667CDC" w:rsidP="001930F5">
      <w:pPr>
        <w:spacing w:after="0" w:line="480" w:lineRule="auto"/>
        <w:jc w:val="center"/>
        <w:rPr>
          <w:rFonts w:cstheme="minorHAnsi"/>
          <w:b/>
          <w:sz w:val="24"/>
          <w:szCs w:val="24"/>
        </w:rPr>
      </w:pPr>
      <w:r>
        <w:rPr>
          <w:rFonts w:cstheme="minorHAnsi"/>
          <w:b/>
          <w:sz w:val="24"/>
          <w:szCs w:val="24"/>
        </w:rPr>
        <w:t>Millions of Nominal Dollars</w:t>
      </w:r>
    </w:p>
    <w:p w14:paraId="19B85827" w14:textId="0499C18C" w:rsidR="00667CDC" w:rsidRPr="00667CDC" w:rsidRDefault="00667CDC" w:rsidP="001930F5">
      <w:pPr>
        <w:spacing w:after="0" w:line="480" w:lineRule="auto"/>
        <w:jc w:val="center"/>
        <w:rPr>
          <w:rFonts w:cstheme="minorHAnsi"/>
          <w:b/>
          <w:sz w:val="24"/>
          <w:szCs w:val="24"/>
        </w:rPr>
      </w:pPr>
      <w:r w:rsidRPr="00967BC1">
        <w:rPr>
          <w:rFonts w:cstheme="minorHAnsi"/>
          <w:b/>
          <w:sz w:val="24"/>
          <w:szCs w:val="24"/>
        </w:rPr>
        <w:t xml:space="preserve">2019 </w:t>
      </w:r>
      <w:r>
        <w:rPr>
          <w:rFonts w:cstheme="minorHAnsi"/>
          <w:b/>
          <w:sz w:val="24"/>
          <w:szCs w:val="24"/>
        </w:rPr>
        <w:t>–</w:t>
      </w:r>
      <w:r w:rsidRPr="00967BC1">
        <w:rPr>
          <w:rFonts w:cstheme="minorHAnsi"/>
          <w:b/>
          <w:sz w:val="24"/>
          <w:szCs w:val="24"/>
        </w:rPr>
        <w:t xml:space="preserve"> 2025</w:t>
      </w:r>
    </w:p>
    <w:tbl>
      <w:tblPr>
        <w:tblStyle w:val="TableGrid"/>
        <w:tblW w:w="5000" w:type="pct"/>
        <w:tblLayout w:type="fixed"/>
        <w:tblLook w:val="04A0" w:firstRow="1" w:lastRow="0" w:firstColumn="1" w:lastColumn="0" w:noHBand="0" w:noVBand="1"/>
      </w:tblPr>
      <w:tblGrid>
        <w:gridCol w:w="2529"/>
        <w:gridCol w:w="975"/>
        <w:gridCol w:w="975"/>
        <w:gridCol w:w="975"/>
        <w:gridCol w:w="974"/>
        <w:gridCol w:w="974"/>
        <w:gridCol w:w="974"/>
        <w:gridCol w:w="974"/>
      </w:tblGrid>
      <w:tr w:rsidR="00667CDC" w:rsidRPr="00967BC1" w14:paraId="6CAEEF99" w14:textId="77777777" w:rsidTr="00D80AC5">
        <w:trPr>
          <w:trHeight w:val="300"/>
        </w:trPr>
        <w:tc>
          <w:tcPr>
            <w:tcW w:w="1352" w:type="pct"/>
            <w:noWrap/>
            <w:vAlign w:val="center"/>
          </w:tcPr>
          <w:p w14:paraId="3D8646F6" w14:textId="77777777" w:rsidR="00667CDC" w:rsidRPr="00967BC1" w:rsidRDefault="00667CDC" w:rsidP="001930F5">
            <w:pPr>
              <w:rPr>
                <w:rFonts w:cstheme="minorHAnsi"/>
                <w:sz w:val="24"/>
                <w:szCs w:val="24"/>
              </w:rPr>
            </w:pPr>
          </w:p>
        </w:tc>
        <w:tc>
          <w:tcPr>
            <w:tcW w:w="521" w:type="pct"/>
            <w:noWrap/>
            <w:vAlign w:val="center"/>
          </w:tcPr>
          <w:p w14:paraId="635D255B" w14:textId="6BE6732C" w:rsidR="00667CDC" w:rsidRPr="00967BC1" w:rsidRDefault="00667CDC" w:rsidP="001930F5">
            <w:pPr>
              <w:jc w:val="center"/>
              <w:rPr>
                <w:rFonts w:cstheme="minorHAnsi"/>
                <w:sz w:val="24"/>
                <w:szCs w:val="24"/>
              </w:rPr>
            </w:pPr>
            <w:r w:rsidRPr="00967BC1">
              <w:rPr>
                <w:rFonts w:asciiTheme="minorHAnsi" w:hAnsiTheme="minorHAnsi" w:cstheme="minorHAnsi"/>
                <w:b/>
                <w:bCs/>
                <w:sz w:val="24"/>
                <w:szCs w:val="24"/>
              </w:rPr>
              <w:t>2019</w:t>
            </w:r>
          </w:p>
        </w:tc>
        <w:tc>
          <w:tcPr>
            <w:tcW w:w="521" w:type="pct"/>
            <w:noWrap/>
            <w:vAlign w:val="center"/>
          </w:tcPr>
          <w:p w14:paraId="076EF3AC" w14:textId="02DD5348" w:rsidR="00667CDC" w:rsidRPr="00967BC1" w:rsidRDefault="00667CDC" w:rsidP="001930F5">
            <w:pPr>
              <w:jc w:val="center"/>
              <w:rPr>
                <w:rFonts w:cstheme="minorHAnsi"/>
                <w:sz w:val="24"/>
                <w:szCs w:val="24"/>
              </w:rPr>
            </w:pPr>
            <w:r w:rsidRPr="00967BC1">
              <w:rPr>
                <w:rFonts w:asciiTheme="minorHAnsi" w:hAnsiTheme="minorHAnsi" w:cstheme="minorHAnsi"/>
                <w:b/>
                <w:bCs/>
                <w:sz w:val="24"/>
                <w:szCs w:val="24"/>
              </w:rPr>
              <w:t>2020</w:t>
            </w:r>
          </w:p>
        </w:tc>
        <w:tc>
          <w:tcPr>
            <w:tcW w:w="521" w:type="pct"/>
            <w:noWrap/>
            <w:vAlign w:val="center"/>
          </w:tcPr>
          <w:p w14:paraId="4686B845" w14:textId="7FD091BF" w:rsidR="00667CDC" w:rsidRPr="00967BC1" w:rsidRDefault="00667CDC" w:rsidP="001930F5">
            <w:pPr>
              <w:jc w:val="center"/>
              <w:rPr>
                <w:rFonts w:cstheme="minorHAnsi"/>
                <w:sz w:val="24"/>
                <w:szCs w:val="24"/>
              </w:rPr>
            </w:pPr>
            <w:r w:rsidRPr="00967BC1">
              <w:rPr>
                <w:rFonts w:asciiTheme="minorHAnsi" w:hAnsiTheme="minorHAnsi" w:cstheme="minorHAnsi"/>
                <w:b/>
                <w:bCs/>
                <w:sz w:val="24"/>
                <w:szCs w:val="24"/>
              </w:rPr>
              <w:t>2021</w:t>
            </w:r>
          </w:p>
        </w:tc>
        <w:tc>
          <w:tcPr>
            <w:tcW w:w="521" w:type="pct"/>
            <w:noWrap/>
            <w:vAlign w:val="center"/>
          </w:tcPr>
          <w:p w14:paraId="3957FE0B" w14:textId="7F744D1D" w:rsidR="00667CDC" w:rsidRPr="00967BC1" w:rsidRDefault="00667CDC" w:rsidP="001930F5">
            <w:pPr>
              <w:jc w:val="center"/>
              <w:rPr>
                <w:rFonts w:cstheme="minorHAnsi"/>
                <w:sz w:val="24"/>
                <w:szCs w:val="24"/>
              </w:rPr>
            </w:pPr>
            <w:r w:rsidRPr="00967BC1">
              <w:rPr>
                <w:rFonts w:asciiTheme="minorHAnsi" w:hAnsiTheme="minorHAnsi" w:cstheme="minorHAnsi"/>
                <w:b/>
                <w:bCs/>
                <w:sz w:val="24"/>
                <w:szCs w:val="24"/>
              </w:rPr>
              <w:t>2022</w:t>
            </w:r>
          </w:p>
        </w:tc>
        <w:tc>
          <w:tcPr>
            <w:tcW w:w="521" w:type="pct"/>
            <w:noWrap/>
            <w:vAlign w:val="center"/>
          </w:tcPr>
          <w:p w14:paraId="7FB9B0B4" w14:textId="2BBF44B4" w:rsidR="00667CDC" w:rsidRPr="00967BC1" w:rsidRDefault="00667CDC" w:rsidP="001930F5">
            <w:pPr>
              <w:jc w:val="center"/>
              <w:rPr>
                <w:rFonts w:cstheme="minorHAnsi"/>
                <w:sz w:val="24"/>
                <w:szCs w:val="24"/>
              </w:rPr>
            </w:pPr>
            <w:r w:rsidRPr="00967BC1">
              <w:rPr>
                <w:rFonts w:asciiTheme="minorHAnsi" w:hAnsiTheme="minorHAnsi" w:cstheme="minorHAnsi"/>
                <w:b/>
                <w:bCs/>
                <w:sz w:val="24"/>
                <w:szCs w:val="24"/>
              </w:rPr>
              <w:t>2023</w:t>
            </w:r>
          </w:p>
        </w:tc>
        <w:tc>
          <w:tcPr>
            <w:tcW w:w="521" w:type="pct"/>
            <w:vAlign w:val="center"/>
          </w:tcPr>
          <w:p w14:paraId="11BCD8E3" w14:textId="63BB67E8" w:rsidR="00667CDC" w:rsidRPr="00967BC1" w:rsidRDefault="00667CDC" w:rsidP="001930F5">
            <w:pPr>
              <w:jc w:val="center"/>
              <w:rPr>
                <w:rFonts w:cstheme="minorHAnsi"/>
                <w:sz w:val="24"/>
                <w:szCs w:val="24"/>
              </w:rPr>
            </w:pPr>
            <w:r w:rsidRPr="00967BC1">
              <w:rPr>
                <w:rFonts w:asciiTheme="minorHAnsi" w:hAnsiTheme="minorHAnsi" w:cstheme="minorHAnsi"/>
                <w:b/>
                <w:bCs/>
                <w:sz w:val="24"/>
                <w:szCs w:val="24"/>
              </w:rPr>
              <w:t>2024</w:t>
            </w:r>
          </w:p>
        </w:tc>
        <w:tc>
          <w:tcPr>
            <w:tcW w:w="521" w:type="pct"/>
            <w:vAlign w:val="center"/>
          </w:tcPr>
          <w:p w14:paraId="14D93ABC" w14:textId="278E2A2A" w:rsidR="00667CDC" w:rsidRPr="00967BC1" w:rsidRDefault="00667CDC" w:rsidP="001930F5">
            <w:pPr>
              <w:jc w:val="center"/>
              <w:rPr>
                <w:rFonts w:cstheme="minorHAnsi"/>
                <w:sz w:val="24"/>
                <w:szCs w:val="24"/>
              </w:rPr>
            </w:pPr>
            <w:r w:rsidRPr="00967BC1">
              <w:rPr>
                <w:rFonts w:asciiTheme="minorHAnsi" w:hAnsiTheme="minorHAnsi" w:cstheme="minorHAnsi"/>
                <w:b/>
                <w:bCs/>
                <w:sz w:val="24"/>
                <w:szCs w:val="24"/>
              </w:rPr>
              <w:t>2025</w:t>
            </w:r>
          </w:p>
        </w:tc>
      </w:tr>
      <w:tr w:rsidR="00667CDC" w:rsidRPr="00967BC1" w14:paraId="67D715C7" w14:textId="77777777" w:rsidTr="00D80AC5">
        <w:trPr>
          <w:trHeight w:val="300"/>
        </w:trPr>
        <w:tc>
          <w:tcPr>
            <w:tcW w:w="1352" w:type="pct"/>
            <w:noWrap/>
            <w:vAlign w:val="center"/>
          </w:tcPr>
          <w:p w14:paraId="4164E7D8" w14:textId="77777777" w:rsidR="00667CDC" w:rsidRDefault="00667CDC" w:rsidP="001930F5">
            <w:pPr>
              <w:rPr>
                <w:rFonts w:asciiTheme="minorHAnsi" w:hAnsiTheme="minorHAnsi" w:cstheme="minorHAnsi"/>
                <w:sz w:val="24"/>
                <w:szCs w:val="24"/>
              </w:rPr>
            </w:pPr>
            <w:r w:rsidRPr="00967BC1">
              <w:rPr>
                <w:rFonts w:asciiTheme="minorHAnsi" w:hAnsiTheme="minorHAnsi" w:cstheme="minorHAnsi"/>
                <w:sz w:val="24"/>
                <w:szCs w:val="24"/>
              </w:rPr>
              <w:t xml:space="preserve">Investment </w:t>
            </w:r>
            <w:r>
              <w:rPr>
                <w:rFonts w:asciiTheme="minorHAnsi" w:hAnsiTheme="minorHAnsi" w:cstheme="minorHAnsi"/>
                <w:sz w:val="24"/>
                <w:szCs w:val="24"/>
              </w:rPr>
              <w:t>Spending</w:t>
            </w:r>
          </w:p>
          <w:p w14:paraId="1627B69A" w14:textId="4CDC5807" w:rsidR="00667CDC" w:rsidRPr="00967BC1" w:rsidRDefault="00667CDC" w:rsidP="001930F5">
            <w:pPr>
              <w:rPr>
                <w:rFonts w:asciiTheme="minorHAnsi" w:hAnsiTheme="minorHAnsi" w:cstheme="minorHAnsi"/>
                <w:sz w:val="24"/>
                <w:szCs w:val="24"/>
              </w:rPr>
            </w:pPr>
            <w:r>
              <w:rPr>
                <w:rFonts w:asciiTheme="minorHAnsi" w:hAnsiTheme="minorHAnsi" w:cstheme="minorHAnsi"/>
                <w:sz w:val="24"/>
                <w:szCs w:val="24"/>
              </w:rPr>
              <w:t>(In Millions)</w:t>
            </w:r>
          </w:p>
        </w:tc>
        <w:tc>
          <w:tcPr>
            <w:tcW w:w="521" w:type="pct"/>
            <w:noWrap/>
            <w:vAlign w:val="center"/>
          </w:tcPr>
          <w:p w14:paraId="0C94FC34" w14:textId="2B86CF38" w:rsidR="00667CDC" w:rsidRPr="00967BC1" w:rsidRDefault="00667CDC" w:rsidP="001930F5">
            <w:pPr>
              <w:jc w:val="center"/>
              <w:rPr>
                <w:rFonts w:asciiTheme="minorHAnsi" w:hAnsiTheme="minorHAnsi" w:cstheme="minorHAnsi"/>
                <w:sz w:val="24"/>
                <w:szCs w:val="24"/>
              </w:rPr>
            </w:pPr>
            <w:r w:rsidRPr="00967BC1">
              <w:rPr>
                <w:rFonts w:asciiTheme="minorHAnsi" w:hAnsiTheme="minorHAnsi" w:cstheme="minorHAnsi"/>
                <w:sz w:val="24"/>
                <w:szCs w:val="24"/>
              </w:rPr>
              <w:t>$40</w:t>
            </w:r>
          </w:p>
        </w:tc>
        <w:tc>
          <w:tcPr>
            <w:tcW w:w="521" w:type="pct"/>
            <w:noWrap/>
            <w:vAlign w:val="center"/>
          </w:tcPr>
          <w:p w14:paraId="4A9C0A97" w14:textId="0EF339CD" w:rsidR="00667CDC" w:rsidRPr="00967BC1" w:rsidRDefault="00667CDC" w:rsidP="001930F5">
            <w:pPr>
              <w:jc w:val="center"/>
              <w:rPr>
                <w:rFonts w:asciiTheme="minorHAnsi" w:hAnsiTheme="minorHAnsi" w:cstheme="minorHAnsi"/>
                <w:sz w:val="24"/>
                <w:szCs w:val="24"/>
              </w:rPr>
            </w:pPr>
            <w:r w:rsidRPr="00967BC1">
              <w:rPr>
                <w:rFonts w:asciiTheme="minorHAnsi" w:hAnsiTheme="minorHAnsi" w:cstheme="minorHAnsi"/>
                <w:sz w:val="24"/>
                <w:szCs w:val="24"/>
              </w:rPr>
              <w:t xml:space="preserve">$90 </w:t>
            </w:r>
          </w:p>
        </w:tc>
        <w:tc>
          <w:tcPr>
            <w:tcW w:w="521" w:type="pct"/>
            <w:noWrap/>
            <w:vAlign w:val="center"/>
          </w:tcPr>
          <w:p w14:paraId="5F4F296E" w14:textId="28E21325" w:rsidR="00667CDC" w:rsidRPr="00967BC1" w:rsidRDefault="00667CDC" w:rsidP="001930F5">
            <w:pPr>
              <w:jc w:val="center"/>
              <w:rPr>
                <w:rFonts w:asciiTheme="minorHAnsi" w:hAnsiTheme="minorHAnsi" w:cstheme="minorHAnsi"/>
                <w:sz w:val="24"/>
                <w:szCs w:val="24"/>
              </w:rPr>
            </w:pPr>
            <w:r>
              <w:rPr>
                <w:rFonts w:asciiTheme="minorHAnsi" w:hAnsiTheme="minorHAnsi" w:cstheme="minorHAnsi"/>
                <w:sz w:val="24"/>
                <w:szCs w:val="24"/>
              </w:rPr>
              <w:t>$</w:t>
            </w:r>
            <w:r w:rsidRPr="00967BC1">
              <w:rPr>
                <w:rFonts w:asciiTheme="minorHAnsi" w:hAnsiTheme="minorHAnsi" w:cstheme="minorHAnsi"/>
                <w:sz w:val="24"/>
                <w:szCs w:val="24"/>
              </w:rPr>
              <w:t>0</w:t>
            </w:r>
          </w:p>
        </w:tc>
        <w:tc>
          <w:tcPr>
            <w:tcW w:w="521" w:type="pct"/>
            <w:noWrap/>
            <w:vAlign w:val="center"/>
          </w:tcPr>
          <w:p w14:paraId="7AF55459" w14:textId="04052865" w:rsidR="00667CDC" w:rsidRPr="00967BC1" w:rsidRDefault="00667CDC" w:rsidP="001930F5">
            <w:pPr>
              <w:jc w:val="center"/>
              <w:rPr>
                <w:rFonts w:asciiTheme="minorHAnsi" w:hAnsiTheme="minorHAnsi" w:cstheme="minorHAnsi"/>
                <w:sz w:val="24"/>
                <w:szCs w:val="24"/>
              </w:rPr>
            </w:pPr>
            <w:r>
              <w:rPr>
                <w:rFonts w:asciiTheme="minorHAnsi" w:hAnsiTheme="minorHAnsi" w:cstheme="minorHAnsi"/>
                <w:sz w:val="24"/>
                <w:szCs w:val="24"/>
              </w:rPr>
              <w:t>$</w:t>
            </w:r>
            <w:r w:rsidRPr="00967BC1">
              <w:rPr>
                <w:rFonts w:asciiTheme="minorHAnsi" w:hAnsiTheme="minorHAnsi" w:cstheme="minorHAnsi"/>
                <w:sz w:val="24"/>
                <w:szCs w:val="24"/>
              </w:rPr>
              <w:t>0</w:t>
            </w:r>
          </w:p>
        </w:tc>
        <w:tc>
          <w:tcPr>
            <w:tcW w:w="521" w:type="pct"/>
            <w:noWrap/>
            <w:vAlign w:val="center"/>
          </w:tcPr>
          <w:p w14:paraId="30B1D00C" w14:textId="54EB55C6" w:rsidR="00667CDC" w:rsidRPr="00967BC1" w:rsidRDefault="00667CDC" w:rsidP="001930F5">
            <w:pPr>
              <w:jc w:val="center"/>
              <w:rPr>
                <w:rFonts w:asciiTheme="minorHAnsi" w:hAnsiTheme="minorHAnsi" w:cstheme="minorHAnsi"/>
                <w:sz w:val="24"/>
                <w:szCs w:val="24"/>
              </w:rPr>
            </w:pPr>
            <w:r>
              <w:rPr>
                <w:rFonts w:asciiTheme="minorHAnsi" w:hAnsiTheme="minorHAnsi" w:cstheme="minorHAnsi"/>
                <w:sz w:val="24"/>
                <w:szCs w:val="24"/>
              </w:rPr>
              <w:t>$</w:t>
            </w:r>
            <w:r w:rsidRPr="00967BC1">
              <w:rPr>
                <w:rFonts w:asciiTheme="minorHAnsi" w:hAnsiTheme="minorHAnsi" w:cstheme="minorHAnsi"/>
                <w:sz w:val="24"/>
                <w:szCs w:val="24"/>
              </w:rPr>
              <w:t>0</w:t>
            </w:r>
          </w:p>
        </w:tc>
        <w:tc>
          <w:tcPr>
            <w:tcW w:w="521" w:type="pct"/>
            <w:vAlign w:val="center"/>
          </w:tcPr>
          <w:p w14:paraId="30871DA0" w14:textId="634677C7" w:rsidR="00667CDC" w:rsidRPr="00967BC1" w:rsidRDefault="00667CDC" w:rsidP="001930F5">
            <w:pPr>
              <w:jc w:val="center"/>
              <w:rPr>
                <w:rFonts w:asciiTheme="minorHAnsi" w:hAnsiTheme="minorHAnsi" w:cstheme="minorHAnsi"/>
                <w:sz w:val="24"/>
                <w:szCs w:val="24"/>
              </w:rPr>
            </w:pPr>
            <w:r>
              <w:rPr>
                <w:rFonts w:asciiTheme="minorHAnsi" w:hAnsiTheme="minorHAnsi" w:cstheme="minorHAnsi"/>
                <w:sz w:val="24"/>
                <w:szCs w:val="24"/>
              </w:rPr>
              <w:t>$</w:t>
            </w:r>
            <w:r w:rsidRPr="00967BC1">
              <w:rPr>
                <w:rFonts w:asciiTheme="minorHAnsi" w:hAnsiTheme="minorHAnsi" w:cstheme="minorHAnsi"/>
                <w:sz w:val="24"/>
                <w:szCs w:val="24"/>
              </w:rPr>
              <w:t>0</w:t>
            </w:r>
          </w:p>
        </w:tc>
        <w:tc>
          <w:tcPr>
            <w:tcW w:w="521" w:type="pct"/>
            <w:vAlign w:val="center"/>
          </w:tcPr>
          <w:p w14:paraId="4A883E9E" w14:textId="216DE7E2" w:rsidR="00667CDC" w:rsidRPr="00967BC1" w:rsidRDefault="00667CDC" w:rsidP="001930F5">
            <w:pPr>
              <w:jc w:val="center"/>
              <w:rPr>
                <w:rFonts w:asciiTheme="minorHAnsi" w:hAnsiTheme="minorHAnsi" w:cstheme="minorHAnsi"/>
                <w:sz w:val="24"/>
                <w:szCs w:val="24"/>
              </w:rPr>
            </w:pPr>
            <w:r>
              <w:rPr>
                <w:rFonts w:asciiTheme="minorHAnsi" w:hAnsiTheme="minorHAnsi" w:cstheme="minorHAnsi"/>
                <w:sz w:val="24"/>
                <w:szCs w:val="24"/>
              </w:rPr>
              <w:t>$</w:t>
            </w:r>
            <w:r w:rsidRPr="00967BC1">
              <w:rPr>
                <w:rFonts w:asciiTheme="minorHAnsi" w:hAnsiTheme="minorHAnsi" w:cstheme="minorHAnsi"/>
                <w:sz w:val="24"/>
                <w:szCs w:val="24"/>
              </w:rPr>
              <w:t>0</w:t>
            </w:r>
          </w:p>
        </w:tc>
      </w:tr>
      <w:tr w:rsidR="00D80AC5" w:rsidRPr="00967BC1" w14:paraId="1E3C11A9" w14:textId="77777777" w:rsidTr="00D80AC5">
        <w:trPr>
          <w:trHeight w:val="300"/>
        </w:trPr>
        <w:tc>
          <w:tcPr>
            <w:tcW w:w="1352" w:type="pct"/>
            <w:noWrap/>
            <w:vAlign w:val="center"/>
          </w:tcPr>
          <w:p w14:paraId="2D84646E" w14:textId="77777777" w:rsidR="00D80AC5" w:rsidRDefault="00D80AC5" w:rsidP="001930F5">
            <w:pPr>
              <w:rPr>
                <w:rFonts w:asciiTheme="minorHAnsi" w:hAnsiTheme="minorHAnsi" w:cstheme="minorHAnsi"/>
                <w:sz w:val="24"/>
                <w:szCs w:val="24"/>
              </w:rPr>
            </w:pPr>
            <w:r w:rsidRPr="00967BC1">
              <w:rPr>
                <w:rFonts w:asciiTheme="minorHAnsi" w:hAnsiTheme="minorHAnsi" w:cstheme="minorHAnsi"/>
                <w:sz w:val="24"/>
                <w:szCs w:val="24"/>
              </w:rPr>
              <w:t>Operating Expenditures</w:t>
            </w:r>
          </w:p>
          <w:p w14:paraId="416B6017" w14:textId="07BD0AE5" w:rsidR="00D80AC5" w:rsidRPr="00967BC1" w:rsidRDefault="00D80AC5" w:rsidP="001930F5">
            <w:pPr>
              <w:rPr>
                <w:rFonts w:asciiTheme="minorHAnsi" w:hAnsiTheme="minorHAnsi" w:cstheme="minorHAnsi"/>
                <w:sz w:val="24"/>
                <w:szCs w:val="24"/>
              </w:rPr>
            </w:pPr>
            <w:r>
              <w:rPr>
                <w:rFonts w:asciiTheme="minorHAnsi" w:hAnsiTheme="minorHAnsi" w:cstheme="minorHAnsi"/>
                <w:sz w:val="24"/>
                <w:szCs w:val="24"/>
              </w:rPr>
              <w:t>(In Millions)</w:t>
            </w:r>
          </w:p>
        </w:tc>
        <w:tc>
          <w:tcPr>
            <w:tcW w:w="521" w:type="pct"/>
            <w:noWrap/>
            <w:vAlign w:val="center"/>
          </w:tcPr>
          <w:p w14:paraId="4F52224E" w14:textId="793E08A7" w:rsidR="00D80AC5" w:rsidRPr="00967BC1" w:rsidRDefault="00D80AC5" w:rsidP="001930F5">
            <w:pPr>
              <w:jc w:val="center"/>
              <w:rPr>
                <w:rFonts w:asciiTheme="minorHAnsi" w:hAnsiTheme="minorHAnsi" w:cstheme="minorHAnsi"/>
                <w:sz w:val="24"/>
                <w:szCs w:val="24"/>
              </w:rPr>
            </w:pPr>
            <w:r w:rsidRPr="001E5A0C">
              <w:rPr>
                <w:rFonts w:asciiTheme="minorHAnsi" w:hAnsiTheme="minorHAnsi" w:cstheme="minorHAnsi"/>
                <w:sz w:val="24"/>
                <w:szCs w:val="24"/>
              </w:rPr>
              <w:t>$1.2</w:t>
            </w:r>
          </w:p>
        </w:tc>
        <w:tc>
          <w:tcPr>
            <w:tcW w:w="521" w:type="pct"/>
            <w:noWrap/>
            <w:vAlign w:val="center"/>
          </w:tcPr>
          <w:p w14:paraId="1CFADCE9" w14:textId="692DDDD7" w:rsidR="00D80AC5" w:rsidRPr="00967BC1" w:rsidRDefault="00D80AC5" w:rsidP="001930F5">
            <w:pPr>
              <w:jc w:val="center"/>
              <w:rPr>
                <w:rFonts w:asciiTheme="minorHAnsi" w:hAnsiTheme="minorHAnsi" w:cstheme="minorHAnsi"/>
                <w:sz w:val="24"/>
                <w:szCs w:val="24"/>
              </w:rPr>
            </w:pPr>
            <w:r>
              <w:rPr>
                <w:rFonts w:asciiTheme="minorHAnsi" w:hAnsiTheme="minorHAnsi" w:cstheme="minorHAnsi"/>
                <w:sz w:val="24"/>
                <w:szCs w:val="24"/>
              </w:rPr>
              <w:t>$4.0</w:t>
            </w:r>
          </w:p>
        </w:tc>
        <w:tc>
          <w:tcPr>
            <w:tcW w:w="521" w:type="pct"/>
            <w:noWrap/>
            <w:vAlign w:val="center"/>
          </w:tcPr>
          <w:p w14:paraId="5EF99090" w14:textId="34CF485B" w:rsidR="00D80AC5" w:rsidRPr="00967BC1" w:rsidRDefault="00D80AC5" w:rsidP="001930F5">
            <w:pPr>
              <w:jc w:val="center"/>
              <w:rPr>
                <w:rFonts w:asciiTheme="minorHAnsi" w:hAnsiTheme="minorHAnsi" w:cstheme="minorHAnsi"/>
                <w:sz w:val="24"/>
                <w:szCs w:val="24"/>
              </w:rPr>
            </w:pPr>
            <w:r>
              <w:rPr>
                <w:rFonts w:asciiTheme="minorHAnsi" w:hAnsiTheme="minorHAnsi" w:cstheme="minorHAnsi"/>
                <w:sz w:val="24"/>
                <w:szCs w:val="24"/>
              </w:rPr>
              <w:t>$4.1</w:t>
            </w:r>
          </w:p>
        </w:tc>
        <w:tc>
          <w:tcPr>
            <w:tcW w:w="521" w:type="pct"/>
            <w:noWrap/>
            <w:vAlign w:val="center"/>
          </w:tcPr>
          <w:p w14:paraId="272BCDD0" w14:textId="2753B328" w:rsidR="00D80AC5" w:rsidRPr="00967BC1" w:rsidRDefault="00D80AC5" w:rsidP="001930F5">
            <w:pPr>
              <w:jc w:val="center"/>
              <w:rPr>
                <w:rFonts w:asciiTheme="minorHAnsi" w:hAnsiTheme="minorHAnsi" w:cstheme="minorHAnsi"/>
                <w:sz w:val="24"/>
                <w:szCs w:val="24"/>
              </w:rPr>
            </w:pPr>
            <w:r>
              <w:rPr>
                <w:rFonts w:asciiTheme="minorHAnsi" w:hAnsiTheme="minorHAnsi" w:cstheme="minorHAnsi"/>
                <w:sz w:val="24"/>
                <w:szCs w:val="24"/>
              </w:rPr>
              <w:t>$4.2</w:t>
            </w:r>
          </w:p>
        </w:tc>
        <w:tc>
          <w:tcPr>
            <w:tcW w:w="521" w:type="pct"/>
            <w:noWrap/>
            <w:vAlign w:val="center"/>
          </w:tcPr>
          <w:p w14:paraId="568374CF" w14:textId="6A967674" w:rsidR="00D80AC5" w:rsidRPr="00967BC1" w:rsidRDefault="00D80AC5" w:rsidP="001930F5">
            <w:pPr>
              <w:jc w:val="center"/>
              <w:rPr>
                <w:rFonts w:asciiTheme="minorHAnsi" w:hAnsiTheme="minorHAnsi" w:cstheme="minorHAnsi"/>
                <w:sz w:val="24"/>
                <w:szCs w:val="24"/>
              </w:rPr>
            </w:pPr>
            <w:r>
              <w:rPr>
                <w:rFonts w:asciiTheme="minorHAnsi" w:hAnsiTheme="minorHAnsi" w:cstheme="minorHAnsi"/>
                <w:sz w:val="24"/>
                <w:szCs w:val="24"/>
              </w:rPr>
              <w:t>$4.3</w:t>
            </w:r>
          </w:p>
        </w:tc>
        <w:tc>
          <w:tcPr>
            <w:tcW w:w="521" w:type="pct"/>
            <w:vAlign w:val="center"/>
          </w:tcPr>
          <w:p w14:paraId="0C2517A6" w14:textId="472C9D3B" w:rsidR="00D80AC5" w:rsidRPr="00967BC1" w:rsidRDefault="00D80AC5" w:rsidP="001930F5">
            <w:pPr>
              <w:jc w:val="center"/>
              <w:rPr>
                <w:rFonts w:asciiTheme="minorHAnsi" w:hAnsiTheme="minorHAnsi" w:cstheme="minorHAnsi"/>
                <w:sz w:val="24"/>
                <w:szCs w:val="24"/>
              </w:rPr>
            </w:pPr>
            <w:r>
              <w:rPr>
                <w:rFonts w:asciiTheme="minorHAnsi" w:hAnsiTheme="minorHAnsi" w:cstheme="minorHAnsi"/>
                <w:sz w:val="24"/>
                <w:szCs w:val="24"/>
              </w:rPr>
              <w:t>$4.4</w:t>
            </w:r>
          </w:p>
        </w:tc>
        <w:tc>
          <w:tcPr>
            <w:tcW w:w="521" w:type="pct"/>
            <w:vAlign w:val="center"/>
          </w:tcPr>
          <w:p w14:paraId="0608E4BE" w14:textId="7689FCCF" w:rsidR="00D80AC5" w:rsidRPr="00967BC1" w:rsidRDefault="00D80AC5" w:rsidP="001930F5">
            <w:pPr>
              <w:jc w:val="center"/>
              <w:rPr>
                <w:rFonts w:asciiTheme="minorHAnsi" w:hAnsiTheme="minorHAnsi" w:cstheme="minorHAnsi"/>
                <w:sz w:val="24"/>
                <w:szCs w:val="24"/>
              </w:rPr>
            </w:pPr>
            <w:r>
              <w:rPr>
                <w:rFonts w:asciiTheme="minorHAnsi" w:hAnsiTheme="minorHAnsi" w:cstheme="minorHAnsi"/>
                <w:sz w:val="24"/>
                <w:szCs w:val="24"/>
              </w:rPr>
              <w:t>$4.5</w:t>
            </w:r>
          </w:p>
        </w:tc>
      </w:tr>
    </w:tbl>
    <w:p w14:paraId="42C3FE7C" w14:textId="5DF718D4" w:rsidR="00667CDC" w:rsidRDefault="008F5675" w:rsidP="001930F5">
      <w:pPr>
        <w:spacing w:after="120" w:line="480" w:lineRule="auto"/>
        <w:jc w:val="both"/>
        <w:rPr>
          <w:rFonts w:cstheme="minorHAnsi"/>
          <w:sz w:val="24"/>
          <w:szCs w:val="24"/>
        </w:rPr>
      </w:pPr>
      <w:r>
        <w:rPr>
          <w:rFonts w:cstheme="minorHAnsi"/>
          <w:sz w:val="24"/>
          <w:szCs w:val="24"/>
        </w:rPr>
        <w:t xml:space="preserve">Source: </w:t>
      </w:r>
      <w:proofErr w:type="spellStart"/>
      <w:r>
        <w:rPr>
          <w:rFonts w:cstheme="minorHAnsi"/>
          <w:sz w:val="24"/>
          <w:szCs w:val="24"/>
        </w:rPr>
        <w:t>Energix</w:t>
      </w:r>
      <w:proofErr w:type="spellEnd"/>
      <w:r>
        <w:rPr>
          <w:rFonts w:cstheme="minorHAnsi"/>
          <w:sz w:val="24"/>
          <w:szCs w:val="24"/>
        </w:rPr>
        <w:t xml:space="preserve"> with assumptions made by the </w:t>
      </w:r>
      <w:proofErr w:type="spellStart"/>
      <w:r>
        <w:rPr>
          <w:rFonts w:cstheme="minorHAnsi"/>
          <w:sz w:val="24"/>
          <w:szCs w:val="24"/>
        </w:rPr>
        <w:t>Dragas</w:t>
      </w:r>
      <w:proofErr w:type="spellEnd"/>
      <w:r>
        <w:rPr>
          <w:rFonts w:cstheme="minorHAnsi"/>
          <w:sz w:val="24"/>
          <w:szCs w:val="24"/>
        </w:rPr>
        <w:t xml:space="preserve"> Center for Economic Analysis and Policy regarding the timing of investment spending and level of operating expenditures.</w:t>
      </w:r>
    </w:p>
    <w:p w14:paraId="6B3973EA" w14:textId="320F5236" w:rsidR="002610A9" w:rsidRPr="00122B69" w:rsidRDefault="00654A0A" w:rsidP="001930F5">
      <w:pPr>
        <w:spacing w:after="120" w:line="480" w:lineRule="auto"/>
        <w:jc w:val="both"/>
        <w:rPr>
          <w:rFonts w:cstheme="minorHAnsi"/>
          <w:sz w:val="24"/>
          <w:szCs w:val="24"/>
        </w:rPr>
      </w:pPr>
      <w:r>
        <w:rPr>
          <w:rFonts w:cstheme="minorHAnsi"/>
          <w:sz w:val="24"/>
          <w:szCs w:val="24"/>
        </w:rPr>
        <w:tab/>
        <w:t xml:space="preserve">Real (inflation-adjusted) Gross Domestic Product (GDP) is a measure of the final value of the production of goods and services in an area during a given period. Figure </w:t>
      </w:r>
      <w:r w:rsidR="000A2066">
        <w:rPr>
          <w:rFonts w:cstheme="minorHAnsi"/>
          <w:sz w:val="24"/>
          <w:szCs w:val="24"/>
        </w:rPr>
        <w:t>2</w:t>
      </w:r>
      <w:r w:rsidR="002610A9">
        <w:rPr>
          <w:rFonts w:cstheme="minorHAnsi"/>
          <w:sz w:val="24"/>
          <w:szCs w:val="24"/>
        </w:rPr>
        <w:t xml:space="preserve"> displays the incremental change in real GDP as a result of </w:t>
      </w:r>
      <w:proofErr w:type="spellStart"/>
      <w:r w:rsidR="002610A9">
        <w:rPr>
          <w:rFonts w:cstheme="minorHAnsi"/>
          <w:sz w:val="24"/>
          <w:szCs w:val="24"/>
        </w:rPr>
        <w:t>Energix’s</w:t>
      </w:r>
      <w:proofErr w:type="spellEnd"/>
      <w:r w:rsidR="002610A9">
        <w:rPr>
          <w:rFonts w:cstheme="minorHAnsi"/>
          <w:sz w:val="24"/>
          <w:szCs w:val="24"/>
        </w:rPr>
        <w:t xml:space="preserve"> investment of $130 million in 2019 and 2020</w:t>
      </w:r>
      <w:r w:rsidR="000E2D33">
        <w:rPr>
          <w:rFonts w:cstheme="minorHAnsi"/>
          <w:sz w:val="24"/>
          <w:szCs w:val="24"/>
        </w:rPr>
        <w:t>,</w:t>
      </w:r>
      <w:r w:rsidR="002610A9">
        <w:rPr>
          <w:rFonts w:cstheme="minorHAnsi"/>
          <w:sz w:val="24"/>
          <w:szCs w:val="24"/>
        </w:rPr>
        <w:t xml:space="preserve"> and operation of solar farm facilities in 20</w:t>
      </w:r>
      <w:r w:rsidR="008F5675">
        <w:rPr>
          <w:rFonts w:cstheme="minorHAnsi"/>
          <w:sz w:val="24"/>
          <w:szCs w:val="24"/>
        </w:rPr>
        <w:t>1</w:t>
      </w:r>
      <w:r w:rsidR="002610A9">
        <w:rPr>
          <w:rFonts w:cstheme="minorHAnsi"/>
          <w:sz w:val="24"/>
          <w:szCs w:val="24"/>
        </w:rPr>
        <w:t xml:space="preserve">9 through 2025. As one might expect, the estimated impact on real economic activity is highest in the years when </w:t>
      </w:r>
      <w:proofErr w:type="spellStart"/>
      <w:r w:rsidR="002610A9">
        <w:rPr>
          <w:rFonts w:cstheme="minorHAnsi"/>
          <w:sz w:val="24"/>
          <w:szCs w:val="24"/>
        </w:rPr>
        <w:t>Energix</w:t>
      </w:r>
      <w:proofErr w:type="spellEnd"/>
      <w:r w:rsidR="002610A9">
        <w:rPr>
          <w:rFonts w:cstheme="minorHAnsi"/>
          <w:sz w:val="24"/>
          <w:szCs w:val="24"/>
        </w:rPr>
        <w:t xml:space="preserve"> is constructing </w:t>
      </w:r>
      <w:r w:rsidR="002610A9">
        <w:rPr>
          <w:rFonts w:cstheme="minorHAnsi"/>
          <w:sz w:val="24"/>
          <w:szCs w:val="24"/>
        </w:rPr>
        <w:lastRenderedPageBreak/>
        <w:t xml:space="preserve">the solar farm facilities. The economic impact does not entirely </w:t>
      </w:r>
      <w:r w:rsidR="00122B69">
        <w:rPr>
          <w:rFonts w:cstheme="minorHAnsi"/>
          <w:sz w:val="24"/>
          <w:szCs w:val="24"/>
        </w:rPr>
        <w:t>go away</w:t>
      </w:r>
      <w:r w:rsidR="002610A9">
        <w:rPr>
          <w:rFonts w:cstheme="minorHAnsi"/>
          <w:sz w:val="24"/>
          <w:szCs w:val="24"/>
        </w:rPr>
        <w:t xml:space="preserve">, however, as </w:t>
      </w:r>
      <w:proofErr w:type="spellStart"/>
      <w:r w:rsidR="002610A9">
        <w:rPr>
          <w:rFonts w:cstheme="minorHAnsi"/>
          <w:sz w:val="24"/>
          <w:szCs w:val="24"/>
        </w:rPr>
        <w:t>Energix</w:t>
      </w:r>
      <w:proofErr w:type="spellEnd"/>
      <w:r w:rsidR="002610A9">
        <w:rPr>
          <w:rFonts w:cstheme="minorHAnsi"/>
          <w:sz w:val="24"/>
          <w:szCs w:val="24"/>
        </w:rPr>
        <w:t xml:space="preserve"> will continue to expend resources to operate and maintain these facilities. </w:t>
      </w:r>
      <w:r w:rsidR="00DA2E42">
        <w:rPr>
          <w:rFonts w:cstheme="minorHAnsi"/>
          <w:sz w:val="24"/>
          <w:szCs w:val="24"/>
        </w:rPr>
        <w:t xml:space="preserve">Figure </w:t>
      </w:r>
      <w:r w:rsidR="00D0077B">
        <w:rPr>
          <w:rFonts w:cstheme="minorHAnsi"/>
          <w:sz w:val="24"/>
          <w:szCs w:val="24"/>
        </w:rPr>
        <w:t>3</w:t>
      </w:r>
      <w:r w:rsidR="00DA2E42">
        <w:rPr>
          <w:rFonts w:cstheme="minorHAnsi"/>
          <w:sz w:val="24"/>
          <w:szCs w:val="24"/>
        </w:rPr>
        <w:t xml:space="preserve"> illustrates the cumulative economic impact</w:t>
      </w:r>
      <w:r w:rsidR="005F145F">
        <w:rPr>
          <w:rFonts w:cstheme="minorHAnsi"/>
          <w:sz w:val="24"/>
          <w:szCs w:val="24"/>
        </w:rPr>
        <w:t>, a running total of the annual incremental impacts,</w:t>
      </w:r>
      <w:r w:rsidR="00DA2E42">
        <w:rPr>
          <w:rFonts w:cstheme="minorHAnsi"/>
          <w:sz w:val="24"/>
          <w:szCs w:val="24"/>
        </w:rPr>
        <w:t xml:space="preserve"> from 2019 to 2025. In total, w</w:t>
      </w:r>
      <w:r w:rsidR="002610A9">
        <w:rPr>
          <w:rFonts w:cstheme="minorHAnsi"/>
          <w:sz w:val="24"/>
          <w:szCs w:val="24"/>
        </w:rPr>
        <w:t>e estimate that the cumulative economic impact will be an approximate $</w:t>
      </w:r>
      <w:r w:rsidR="001930F5">
        <w:rPr>
          <w:rFonts w:cstheme="minorHAnsi"/>
          <w:sz w:val="24"/>
          <w:szCs w:val="24"/>
        </w:rPr>
        <w:t>48.7</w:t>
      </w:r>
      <w:r w:rsidR="002610A9">
        <w:rPr>
          <w:rFonts w:cstheme="minorHAnsi"/>
          <w:sz w:val="24"/>
          <w:szCs w:val="24"/>
        </w:rPr>
        <w:t xml:space="preserve"> million increase in real GDP relative to the baseline forecast from 2019 to 2025.</w:t>
      </w:r>
    </w:p>
    <w:p w14:paraId="092A99F6" w14:textId="2F3435E1" w:rsidR="00D719A0" w:rsidRDefault="00122B69" w:rsidP="00F864D8">
      <w:pPr>
        <w:spacing w:after="120" w:line="480" w:lineRule="auto"/>
        <w:ind w:firstLine="720"/>
        <w:jc w:val="both"/>
        <w:rPr>
          <w:rFonts w:cstheme="minorHAnsi"/>
          <w:sz w:val="24"/>
          <w:szCs w:val="24"/>
        </w:rPr>
      </w:pPr>
      <w:r>
        <w:rPr>
          <w:rFonts w:cstheme="minorHAnsi"/>
          <w:sz w:val="24"/>
          <w:szCs w:val="24"/>
        </w:rPr>
        <w:t xml:space="preserve">Figure </w:t>
      </w:r>
      <w:r w:rsidR="00D0077B">
        <w:rPr>
          <w:rFonts w:cstheme="minorHAnsi"/>
          <w:sz w:val="24"/>
          <w:szCs w:val="24"/>
        </w:rPr>
        <w:t>4</w:t>
      </w:r>
      <w:r>
        <w:rPr>
          <w:rFonts w:cstheme="minorHAnsi"/>
          <w:sz w:val="24"/>
          <w:szCs w:val="24"/>
        </w:rPr>
        <w:t xml:space="preserve"> displays the impact of the investment and continued operation of the facilities on private nonfarm employment (jobs). The construction of the solar farm facilities in 2019 and 2020 increases nonfarm employment, not only by construction jobs, but also through indirect and induced impacts on employment across the Virginian economy. These increases, however, dissipate with the end of the construction phase but are also not eliminated given the continued operation and maintenance of the facilities. In 2025, for example, </w:t>
      </w:r>
      <w:r w:rsidR="00367B4B">
        <w:rPr>
          <w:rFonts w:cstheme="minorHAnsi"/>
          <w:sz w:val="24"/>
          <w:szCs w:val="24"/>
        </w:rPr>
        <w:t>we estimate that Virginia has</w:t>
      </w:r>
      <w:r>
        <w:rPr>
          <w:rFonts w:cstheme="minorHAnsi"/>
          <w:sz w:val="24"/>
          <w:szCs w:val="24"/>
        </w:rPr>
        <w:t xml:space="preserve"> </w:t>
      </w:r>
      <w:r w:rsidR="001930F5">
        <w:rPr>
          <w:rFonts w:cstheme="minorHAnsi"/>
          <w:sz w:val="24"/>
          <w:szCs w:val="24"/>
        </w:rPr>
        <w:t>approximately 30</w:t>
      </w:r>
      <w:r>
        <w:rPr>
          <w:rFonts w:cstheme="minorHAnsi"/>
          <w:sz w:val="24"/>
          <w:szCs w:val="24"/>
        </w:rPr>
        <w:t xml:space="preserve"> new jobs above the baseline forecast due to the operation of the solar farm facilities and residual effects of the investment program.</w:t>
      </w:r>
      <w:r w:rsidR="00B52ED6">
        <w:rPr>
          <w:rFonts w:cstheme="minorHAnsi"/>
          <w:sz w:val="24"/>
          <w:szCs w:val="24"/>
        </w:rPr>
        <w:tab/>
      </w:r>
    </w:p>
    <w:p w14:paraId="51970C83" w14:textId="2976B6AB" w:rsidR="00F864D8" w:rsidRDefault="00F864D8" w:rsidP="00F864D8">
      <w:pPr>
        <w:spacing w:after="120" w:line="480" w:lineRule="auto"/>
        <w:jc w:val="both"/>
        <w:rPr>
          <w:rFonts w:cstheme="minorHAnsi"/>
          <w:b/>
          <w:bCs/>
          <w:sz w:val="24"/>
          <w:szCs w:val="24"/>
        </w:rPr>
      </w:pPr>
      <w:r>
        <w:rPr>
          <w:rFonts w:cstheme="minorHAnsi"/>
          <w:b/>
          <w:bCs/>
          <w:i/>
          <w:iCs/>
          <w:sz w:val="24"/>
          <w:szCs w:val="24"/>
        </w:rPr>
        <w:t xml:space="preserve">Estimated Economic Impact of </w:t>
      </w:r>
      <w:proofErr w:type="spellStart"/>
      <w:r>
        <w:rPr>
          <w:rFonts w:cstheme="minorHAnsi"/>
          <w:b/>
          <w:bCs/>
          <w:i/>
          <w:iCs/>
          <w:sz w:val="24"/>
          <w:szCs w:val="24"/>
        </w:rPr>
        <w:t>Energix’s</w:t>
      </w:r>
      <w:proofErr w:type="spellEnd"/>
      <w:r>
        <w:rPr>
          <w:rFonts w:cstheme="minorHAnsi"/>
          <w:b/>
          <w:bCs/>
          <w:i/>
          <w:iCs/>
          <w:sz w:val="24"/>
          <w:szCs w:val="24"/>
        </w:rPr>
        <w:t xml:space="preserve"> Northern Virginia Facility</w:t>
      </w:r>
    </w:p>
    <w:p w14:paraId="4A4A8BBF" w14:textId="0103D67A" w:rsidR="00F864D8" w:rsidRPr="00F864D8" w:rsidRDefault="00BE7604" w:rsidP="00F864D8">
      <w:pPr>
        <w:spacing w:after="120" w:line="480" w:lineRule="auto"/>
        <w:jc w:val="both"/>
        <w:rPr>
          <w:rFonts w:cstheme="minorHAnsi"/>
          <w:sz w:val="24"/>
          <w:szCs w:val="24"/>
        </w:rPr>
      </w:pPr>
      <w:r>
        <w:rPr>
          <w:rFonts w:cstheme="minorHAnsi"/>
          <w:sz w:val="24"/>
          <w:szCs w:val="24"/>
        </w:rPr>
        <w:tab/>
      </w:r>
      <w:proofErr w:type="spellStart"/>
      <w:r w:rsidR="004757BA">
        <w:rPr>
          <w:rFonts w:cstheme="minorHAnsi"/>
          <w:sz w:val="24"/>
          <w:szCs w:val="24"/>
        </w:rPr>
        <w:t>Energix</w:t>
      </w:r>
      <w:proofErr w:type="spellEnd"/>
      <w:r w:rsidR="004757BA">
        <w:rPr>
          <w:rFonts w:cstheme="minorHAnsi"/>
          <w:sz w:val="24"/>
          <w:szCs w:val="24"/>
        </w:rPr>
        <w:t xml:space="preserve"> is currently hiring new management positions to join its two existing positions in its Northern Virginia facility.</w:t>
      </w:r>
      <w:r w:rsidR="001930F5">
        <w:rPr>
          <w:rFonts w:cstheme="minorHAnsi"/>
          <w:sz w:val="24"/>
          <w:szCs w:val="24"/>
        </w:rPr>
        <w:t xml:space="preserve"> We estimate that hiring increases over time and reaches an average of 20 total personnel.</w:t>
      </w:r>
      <w:r w:rsidR="004757BA">
        <w:rPr>
          <w:rFonts w:cstheme="minorHAnsi"/>
          <w:sz w:val="24"/>
          <w:szCs w:val="24"/>
        </w:rPr>
        <w:t xml:space="preserve"> </w:t>
      </w:r>
      <w:r w:rsidR="001930F5">
        <w:rPr>
          <w:rFonts w:cstheme="minorHAnsi"/>
          <w:sz w:val="24"/>
          <w:szCs w:val="24"/>
        </w:rPr>
        <w:t>W</w:t>
      </w:r>
      <w:r w:rsidR="004757BA">
        <w:rPr>
          <w:rFonts w:cstheme="minorHAnsi"/>
          <w:sz w:val="24"/>
          <w:szCs w:val="24"/>
        </w:rPr>
        <w:t xml:space="preserve">e estimate that the total economic impact of </w:t>
      </w:r>
      <w:proofErr w:type="spellStart"/>
      <w:r w:rsidR="004757BA">
        <w:rPr>
          <w:rFonts w:cstheme="minorHAnsi"/>
          <w:sz w:val="24"/>
          <w:szCs w:val="24"/>
        </w:rPr>
        <w:t>Energix’s</w:t>
      </w:r>
      <w:proofErr w:type="spellEnd"/>
      <w:r w:rsidR="004757BA">
        <w:rPr>
          <w:rFonts w:cstheme="minorHAnsi"/>
          <w:sz w:val="24"/>
          <w:szCs w:val="24"/>
        </w:rPr>
        <w:t xml:space="preserve"> personnel is an approximately $</w:t>
      </w:r>
      <w:r w:rsidR="001930F5">
        <w:rPr>
          <w:rFonts w:cstheme="minorHAnsi"/>
          <w:sz w:val="24"/>
          <w:szCs w:val="24"/>
        </w:rPr>
        <w:t>5.5</w:t>
      </w:r>
      <w:r w:rsidR="004757BA">
        <w:rPr>
          <w:rFonts w:cstheme="minorHAnsi"/>
          <w:sz w:val="24"/>
          <w:szCs w:val="24"/>
        </w:rPr>
        <w:t xml:space="preserve"> million annual increase in Virginia’s real GDP.</w:t>
      </w:r>
      <w:r w:rsidR="001930F5">
        <w:rPr>
          <w:rFonts w:cstheme="minorHAnsi"/>
          <w:sz w:val="24"/>
          <w:szCs w:val="24"/>
        </w:rPr>
        <w:t xml:space="preserve"> As these are relatively highly paid management personnel (on average)</w:t>
      </w:r>
      <w:r w:rsidR="004757BA">
        <w:rPr>
          <w:rFonts w:cstheme="minorHAnsi"/>
          <w:sz w:val="24"/>
          <w:szCs w:val="24"/>
        </w:rPr>
        <w:t>,</w:t>
      </w:r>
      <w:r w:rsidR="001930F5">
        <w:rPr>
          <w:rFonts w:cstheme="minorHAnsi"/>
          <w:sz w:val="24"/>
          <w:szCs w:val="24"/>
        </w:rPr>
        <w:t xml:space="preserve"> total employment increases by more than 50 jobs once the location is fully staffed. This illustrates</w:t>
      </w:r>
      <w:r w:rsidR="004757BA">
        <w:rPr>
          <w:rFonts w:cstheme="minorHAnsi"/>
          <w:sz w:val="24"/>
          <w:szCs w:val="24"/>
        </w:rPr>
        <w:t xml:space="preserve"> the significant economic multiplier on employment in the utilities industry. On average, for every job that is added by </w:t>
      </w:r>
      <w:proofErr w:type="spellStart"/>
      <w:r w:rsidR="004757BA">
        <w:rPr>
          <w:rFonts w:cstheme="minorHAnsi"/>
          <w:sz w:val="24"/>
          <w:szCs w:val="24"/>
        </w:rPr>
        <w:t>Energix</w:t>
      </w:r>
      <w:proofErr w:type="spellEnd"/>
      <w:r w:rsidR="004757BA">
        <w:rPr>
          <w:rFonts w:cstheme="minorHAnsi"/>
          <w:sz w:val="24"/>
          <w:szCs w:val="24"/>
        </w:rPr>
        <w:t>, another 1.6 jobs are created through the indirect and induced effects.</w:t>
      </w:r>
    </w:p>
    <w:p w14:paraId="2EB86A49" w14:textId="77777777" w:rsidR="00396C50" w:rsidRDefault="00396C50">
      <w:pPr>
        <w:rPr>
          <w:rFonts w:cstheme="minorHAnsi"/>
          <w:b/>
          <w:bCs/>
          <w:sz w:val="24"/>
          <w:szCs w:val="24"/>
        </w:rPr>
      </w:pPr>
      <w:r>
        <w:rPr>
          <w:rFonts w:cstheme="minorHAnsi"/>
          <w:b/>
          <w:bCs/>
          <w:sz w:val="24"/>
          <w:szCs w:val="24"/>
        </w:rPr>
        <w:lastRenderedPageBreak/>
        <w:t>Conclusion</w:t>
      </w:r>
    </w:p>
    <w:p w14:paraId="2871744E" w14:textId="7AE39325" w:rsidR="00396C50" w:rsidRDefault="00396C50" w:rsidP="00396C50">
      <w:pPr>
        <w:spacing w:line="480" w:lineRule="auto"/>
        <w:jc w:val="both"/>
        <w:rPr>
          <w:rFonts w:cstheme="minorHAnsi"/>
          <w:sz w:val="24"/>
          <w:szCs w:val="24"/>
        </w:rPr>
      </w:pPr>
      <w:r w:rsidRPr="00396C50">
        <w:rPr>
          <w:rFonts w:cstheme="minorHAnsi"/>
          <w:sz w:val="24"/>
          <w:szCs w:val="24"/>
        </w:rPr>
        <w:tab/>
        <w:t xml:space="preserve">Based on information provided by </w:t>
      </w:r>
      <w:proofErr w:type="spellStart"/>
      <w:r w:rsidRPr="00396C50">
        <w:rPr>
          <w:rFonts w:cstheme="minorHAnsi"/>
          <w:sz w:val="24"/>
          <w:szCs w:val="24"/>
        </w:rPr>
        <w:t>Energix</w:t>
      </w:r>
      <w:proofErr w:type="spellEnd"/>
      <w:r w:rsidRPr="00396C50">
        <w:rPr>
          <w:rFonts w:cstheme="minorHAnsi"/>
          <w:sz w:val="24"/>
          <w:szCs w:val="24"/>
        </w:rPr>
        <w:t xml:space="preserve"> and under reasonable assumptions, we conservatively estimate that </w:t>
      </w:r>
      <w:proofErr w:type="spellStart"/>
      <w:r w:rsidRPr="00396C50">
        <w:rPr>
          <w:rFonts w:cstheme="minorHAnsi"/>
          <w:sz w:val="24"/>
          <w:szCs w:val="24"/>
        </w:rPr>
        <w:t>Energix’s</w:t>
      </w:r>
      <w:proofErr w:type="spellEnd"/>
      <w:r w:rsidRPr="00396C50">
        <w:rPr>
          <w:rFonts w:cstheme="minorHAnsi"/>
          <w:sz w:val="24"/>
          <w:szCs w:val="24"/>
        </w:rPr>
        <w:t xml:space="preserve"> planned investment of $130 million in the Commonwealth of Virginia and its continued operation and maintenance of the solar energy facilities </w:t>
      </w:r>
      <w:r>
        <w:rPr>
          <w:rFonts w:cstheme="minorHAnsi"/>
          <w:sz w:val="24"/>
          <w:szCs w:val="24"/>
        </w:rPr>
        <w:t xml:space="preserve">will </w:t>
      </w:r>
      <w:r w:rsidRPr="00396C50">
        <w:rPr>
          <w:rFonts w:cstheme="minorHAnsi"/>
          <w:sz w:val="24"/>
          <w:szCs w:val="24"/>
        </w:rPr>
        <w:t>increase real (inflation-adjusted) Gross Domestic Product in Virginia.</w:t>
      </w:r>
      <w:r w:rsidR="001930F5">
        <w:rPr>
          <w:rFonts w:cstheme="minorHAnsi"/>
          <w:sz w:val="24"/>
          <w:szCs w:val="24"/>
        </w:rPr>
        <w:t xml:space="preserve"> While the impact varies year to year, the cumulative impact </w:t>
      </w:r>
      <w:r w:rsidR="00B90C46">
        <w:rPr>
          <w:rFonts w:cstheme="minorHAnsi"/>
          <w:sz w:val="24"/>
          <w:szCs w:val="24"/>
        </w:rPr>
        <w:t>from 2019 to 2025</w:t>
      </w:r>
      <w:r w:rsidR="001930F5">
        <w:rPr>
          <w:rFonts w:cstheme="minorHAnsi"/>
          <w:sz w:val="24"/>
          <w:szCs w:val="24"/>
        </w:rPr>
        <w:t xml:space="preserve"> is almost $50 million.</w:t>
      </w:r>
      <w:r>
        <w:rPr>
          <w:rFonts w:cstheme="minorHAnsi"/>
          <w:sz w:val="24"/>
          <w:szCs w:val="24"/>
        </w:rPr>
        <w:t xml:space="preserve"> </w:t>
      </w:r>
      <w:r w:rsidRPr="00396C50">
        <w:rPr>
          <w:rFonts w:cstheme="minorHAnsi"/>
          <w:sz w:val="24"/>
          <w:szCs w:val="24"/>
        </w:rPr>
        <w:t xml:space="preserve">In addition, the construction phase of </w:t>
      </w:r>
      <w:proofErr w:type="spellStart"/>
      <w:r w:rsidRPr="00396C50">
        <w:rPr>
          <w:rFonts w:cstheme="minorHAnsi"/>
          <w:sz w:val="24"/>
          <w:szCs w:val="24"/>
        </w:rPr>
        <w:t>Energix’s</w:t>
      </w:r>
      <w:proofErr w:type="spellEnd"/>
      <w:r w:rsidRPr="00396C50">
        <w:rPr>
          <w:rFonts w:cstheme="minorHAnsi"/>
          <w:sz w:val="24"/>
          <w:szCs w:val="24"/>
        </w:rPr>
        <w:t xml:space="preserve"> solar facilities will increase private nonfarm payrolls (jobs) in Virginia by </w:t>
      </w:r>
      <w:r w:rsidR="00942C93">
        <w:rPr>
          <w:rFonts w:cstheme="minorHAnsi"/>
          <w:sz w:val="24"/>
          <w:szCs w:val="24"/>
        </w:rPr>
        <w:t>102</w:t>
      </w:r>
      <w:r w:rsidRPr="00396C50">
        <w:rPr>
          <w:rFonts w:cstheme="minorHAnsi"/>
          <w:sz w:val="24"/>
          <w:szCs w:val="24"/>
        </w:rPr>
        <w:t xml:space="preserve"> in 2019 and 2</w:t>
      </w:r>
      <w:r w:rsidR="00942C93">
        <w:rPr>
          <w:rFonts w:cstheme="minorHAnsi"/>
          <w:sz w:val="24"/>
          <w:szCs w:val="24"/>
        </w:rPr>
        <w:t>39</w:t>
      </w:r>
      <w:r w:rsidRPr="00396C50">
        <w:rPr>
          <w:rFonts w:cstheme="minorHAnsi"/>
          <w:sz w:val="24"/>
          <w:szCs w:val="24"/>
        </w:rPr>
        <w:t xml:space="preserve"> in 2020. While a number of these jobs will dissipate after the construction phase of </w:t>
      </w:r>
      <w:proofErr w:type="spellStart"/>
      <w:r w:rsidRPr="00396C50">
        <w:rPr>
          <w:rFonts w:cstheme="minorHAnsi"/>
          <w:sz w:val="24"/>
          <w:szCs w:val="24"/>
        </w:rPr>
        <w:t>Energix’s</w:t>
      </w:r>
      <w:proofErr w:type="spellEnd"/>
      <w:r w:rsidRPr="00396C50">
        <w:rPr>
          <w:rFonts w:cstheme="minorHAnsi"/>
          <w:sz w:val="24"/>
          <w:szCs w:val="24"/>
        </w:rPr>
        <w:t xml:space="preserve"> investment is complete, we estimate that </w:t>
      </w:r>
      <w:proofErr w:type="spellStart"/>
      <w:r w:rsidRPr="00396C50">
        <w:rPr>
          <w:rFonts w:cstheme="minorHAnsi"/>
          <w:sz w:val="24"/>
          <w:szCs w:val="24"/>
        </w:rPr>
        <w:t>Energix’s</w:t>
      </w:r>
      <w:proofErr w:type="spellEnd"/>
      <w:r w:rsidRPr="00396C50">
        <w:rPr>
          <w:rFonts w:cstheme="minorHAnsi"/>
          <w:sz w:val="24"/>
          <w:szCs w:val="24"/>
        </w:rPr>
        <w:t xml:space="preserve"> continued operation and maintenance of the solar energy facilities will create, on average, </w:t>
      </w:r>
      <w:r w:rsidR="001930F5">
        <w:rPr>
          <w:rFonts w:cstheme="minorHAnsi"/>
          <w:sz w:val="24"/>
          <w:szCs w:val="24"/>
        </w:rPr>
        <w:t>30</w:t>
      </w:r>
      <w:r w:rsidRPr="00396C50">
        <w:rPr>
          <w:rFonts w:cstheme="minorHAnsi"/>
          <w:sz w:val="24"/>
          <w:szCs w:val="24"/>
        </w:rPr>
        <w:t xml:space="preserve"> new permanent jobs in Virginia through 2025. </w:t>
      </w:r>
      <w:proofErr w:type="spellStart"/>
      <w:r w:rsidRPr="00396C50">
        <w:rPr>
          <w:rFonts w:cstheme="minorHAnsi"/>
          <w:sz w:val="24"/>
          <w:szCs w:val="24"/>
        </w:rPr>
        <w:t>Energix’s</w:t>
      </w:r>
      <w:proofErr w:type="spellEnd"/>
      <w:r w:rsidRPr="00396C50">
        <w:rPr>
          <w:rFonts w:cstheme="minorHAnsi"/>
          <w:sz w:val="24"/>
          <w:szCs w:val="24"/>
        </w:rPr>
        <w:t xml:space="preserve"> management operations in Northern Virginia will</w:t>
      </w:r>
      <w:r w:rsidR="001930F5">
        <w:rPr>
          <w:rFonts w:cstheme="minorHAnsi"/>
          <w:sz w:val="24"/>
          <w:szCs w:val="24"/>
        </w:rPr>
        <w:t>, on average,</w:t>
      </w:r>
      <w:r w:rsidRPr="00396C50">
        <w:rPr>
          <w:rFonts w:cstheme="minorHAnsi"/>
          <w:sz w:val="24"/>
          <w:szCs w:val="24"/>
        </w:rPr>
        <w:t xml:space="preserve"> </w:t>
      </w:r>
      <w:r>
        <w:rPr>
          <w:rFonts w:cstheme="minorHAnsi"/>
          <w:sz w:val="24"/>
          <w:szCs w:val="24"/>
        </w:rPr>
        <w:t xml:space="preserve">also </w:t>
      </w:r>
      <w:r w:rsidRPr="00396C50">
        <w:rPr>
          <w:rFonts w:cstheme="minorHAnsi"/>
          <w:sz w:val="24"/>
          <w:szCs w:val="24"/>
        </w:rPr>
        <w:t xml:space="preserve">add an additional </w:t>
      </w:r>
      <w:r w:rsidR="001930F5">
        <w:rPr>
          <w:rFonts w:cstheme="minorHAnsi"/>
          <w:sz w:val="24"/>
          <w:szCs w:val="24"/>
        </w:rPr>
        <w:t>5</w:t>
      </w:r>
      <w:r w:rsidR="00287657">
        <w:rPr>
          <w:rFonts w:cstheme="minorHAnsi"/>
          <w:sz w:val="24"/>
          <w:szCs w:val="24"/>
        </w:rPr>
        <w:t>7</w:t>
      </w:r>
      <w:r w:rsidRPr="00396C50">
        <w:rPr>
          <w:rFonts w:cstheme="minorHAnsi"/>
          <w:sz w:val="24"/>
          <w:szCs w:val="24"/>
        </w:rPr>
        <w:t xml:space="preserve"> permanent jobs and raise real GDP by $</w:t>
      </w:r>
      <w:r w:rsidR="001930F5">
        <w:rPr>
          <w:rFonts w:cstheme="minorHAnsi"/>
          <w:sz w:val="24"/>
          <w:szCs w:val="24"/>
        </w:rPr>
        <w:t>5.5</w:t>
      </w:r>
      <w:r w:rsidRPr="00396C50">
        <w:rPr>
          <w:rFonts w:cstheme="minorHAnsi"/>
          <w:sz w:val="24"/>
          <w:szCs w:val="24"/>
        </w:rPr>
        <w:t xml:space="preserve"> million.</w:t>
      </w:r>
    </w:p>
    <w:p w14:paraId="33B6DC1B" w14:textId="4249FE97" w:rsidR="00996EB9" w:rsidRPr="00DA2E42" w:rsidRDefault="00396C50" w:rsidP="00DA2E42">
      <w:pPr>
        <w:spacing w:line="480" w:lineRule="auto"/>
        <w:jc w:val="both"/>
        <w:rPr>
          <w:rFonts w:cstheme="minorHAnsi"/>
          <w:sz w:val="24"/>
          <w:szCs w:val="24"/>
        </w:rPr>
      </w:pPr>
      <w:r>
        <w:rPr>
          <w:rFonts w:cstheme="minorHAnsi"/>
          <w:sz w:val="24"/>
          <w:szCs w:val="24"/>
        </w:rPr>
        <w:tab/>
        <w:t xml:space="preserve">In aggregate, we estimate that </w:t>
      </w:r>
      <w:proofErr w:type="spellStart"/>
      <w:r>
        <w:rPr>
          <w:rFonts w:cstheme="minorHAnsi"/>
          <w:sz w:val="24"/>
          <w:szCs w:val="24"/>
        </w:rPr>
        <w:t>Energix’s</w:t>
      </w:r>
      <w:proofErr w:type="spellEnd"/>
      <w:r>
        <w:rPr>
          <w:rFonts w:cstheme="minorHAnsi"/>
          <w:sz w:val="24"/>
          <w:szCs w:val="24"/>
        </w:rPr>
        <w:t xml:space="preserve"> investments and operations in Virginia will increase </w:t>
      </w:r>
      <w:r w:rsidR="00996EB9">
        <w:rPr>
          <w:rFonts w:cstheme="minorHAnsi"/>
          <w:sz w:val="24"/>
          <w:szCs w:val="24"/>
        </w:rPr>
        <w:t>Virginia’s real GDP by approximately $5</w:t>
      </w:r>
      <w:r w:rsidR="001930F5">
        <w:rPr>
          <w:rFonts w:cstheme="minorHAnsi"/>
          <w:sz w:val="24"/>
          <w:szCs w:val="24"/>
        </w:rPr>
        <w:t>5</w:t>
      </w:r>
      <w:r w:rsidR="00996EB9">
        <w:rPr>
          <w:rFonts w:cstheme="minorHAnsi"/>
          <w:sz w:val="24"/>
          <w:szCs w:val="24"/>
        </w:rPr>
        <w:t xml:space="preserve"> million relative to the baseline forecast from 2019 to 2025. While the most significant increases in jobs are associated with the investment </w:t>
      </w:r>
      <w:r w:rsidR="008F5675">
        <w:rPr>
          <w:rFonts w:cstheme="minorHAnsi"/>
          <w:sz w:val="24"/>
          <w:szCs w:val="24"/>
        </w:rPr>
        <w:t xml:space="preserve">and construction </w:t>
      </w:r>
      <w:r w:rsidR="00996EB9">
        <w:rPr>
          <w:rFonts w:cstheme="minorHAnsi"/>
          <w:sz w:val="24"/>
          <w:szCs w:val="24"/>
        </w:rPr>
        <w:t xml:space="preserve">phase, over </w:t>
      </w:r>
      <w:r w:rsidR="001930F5">
        <w:rPr>
          <w:rFonts w:cstheme="minorHAnsi"/>
          <w:sz w:val="24"/>
          <w:szCs w:val="24"/>
        </w:rPr>
        <w:t>80</w:t>
      </w:r>
      <w:r w:rsidR="00996EB9">
        <w:rPr>
          <w:rFonts w:cstheme="minorHAnsi"/>
          <w:sz w:val="24"/>
          <w:szCs w:val="24"/>
        </w:rPr>
        <w:t xml:space="preserve"> new permanent jobs remain by 2025. The increase</w:t>
      </w:r>
      <w:r w:rsidR="00217675">
        <w:rPr>
          <w:rFonts w:cstheme="minorHAnsi"/>
          <w:sz w:val="24"/>
          <w:szCs w:val="24"/>
        </w:rPr>
        <w:t>s</w:t>
      </w:r>
      <w:r w:rsidR="00996EB9">
        <w:rPr>
          <w:rFonts w:cstheme="minorHAnsi"/>
          <w:sz w:val="24"/>
          <w:szCs w:val="24"/>
        </w:rPr>
        <w:t xml:space="preserve"> in real GDP and jobs provide a lower bound for </w:t>
      </w:r>
      <w:proofErr w:type="spellStart"/>
      <w:r w:rsidR="00996EB9">
        <w:rPr>
          <w:rFonts w:cstheme="minorHAnsi"/>
          <w:sz w:val="24"/>
          <w:szCs w:val="24"/>
        </w:rPr>
        <w:t>Energix’s</w:t>
      </w:r>
      <w:proofErr w:type="spellEnd"/>
      <w:r w:rsidR="00996EB9">
        <w:rPr>
          <w:rFonts w:cstheme="minorHAnsi"/>
          <w:sz w:val="24"/>
          <w:szCs w:val="24"/>
        </w:rPr>
        <w:t xml:space="preserve"> contributions to economic activity in the Commonwealth. </w:t>
      </w:r>
      <w:r w:rsidR="00217675">
        <w:rPr>
          <w:rFonts w:cstheme="minorHAnsi"/>
          <w:sz w:val="24"/>
          <w:szCs w:val="24"/>
        </w:rPr>
        <w:t>As</w:t>
      </w:r>
      <w:r w:rsidR="00996EB9">
        <w:rPr>
          <w:rFonts w:cstheme="minorHAnsi"/>
          <w:sz w:val="24"/>
          <w:szCs w:val="24"/>
        </w:rPr>
        <w:t xml:space="preserve"> </w:t>
      </w:r>
      <w:proofErr w:type="spellStart"/>
      <w:r w:rsidR="00996EB9">
        <w:rPr>
          <w:rFonts w:cstheme="minorHAnsi"/>
          <w:sz w:val="24"/>
          <w:szCs w:val="24"/>
        </w:rPr>
        <w:t>Energix</w:t>
      </w:r>
      <w:proofErr w:type="spellEnd"/>
      <w:r w:rsidR="00996EB9">
        <w:rPr>
          <w:rFonts w:cstheme="minorHAnsi"/>
          <w:sz w:val="24"/>
          <w:szCs w:val="24"/>
        </w:rPr>
        <w:t xml:space="preserve"> continues to invest in new facilities and expand its Northern Virginia operations, our estimates will increase.</w:t>
      </w:r>
    </w:p>
    <w:p w14:paraId="5EF3CC1A" w14:textId="77A440BF" w:rsidR="001930F5" w:rsidRDefault="001930F5">
      <w:pPr>
        <w:rPr>
          <w:rFonts w:cstheme="minorHAnsi"/>
          <w:b/>
          <w:bCs/>
          <w:sz w:val="24"/>
          <w:szCs w:val="24"/>
        </w:rPr>
      </w:pPr>
    </w:p>
    <w:p w14:paraId="7354E9DA" w14:textId="0F10E403" w:rsidR="00500E82" w:rsidRDefault="00500E82">
      <w:pPr>
        <w:rPr>
          <w:rFonts w:cstheme="minorHAnsi"/>
          <w:b/>
          <w:bCs/>
          <w:sz w:val="24"/>
          <w:szCs w:val="24"/>
        </w:rPr>
      </w:pPr>
    </w:p>
    <w:p w14:paraId="1607F001" w14:textId="77777777" w:rsidR="00500E82" w:rsidRDefault="00500E82">
      <w:pPr>
        <w:rPr>
          <w:rFonts w:cstheme="minorHAnsi"/>
          <w:b/>
          <w:bCs/>
          <w:sz w:val="24"/>
          <w:szCs w:val="24"/>
        </w:rPr>
      </w:pPr>
    </w:p>
    <w:p w14:paraId="507CEE3A" w14:textId="5511C0D3" w:rsidR="00122B69" w:rsidRPr="002610A9" w:rsidRDefault="00122B69" w:rsidP="00AD3FCB">
      <w:pPr>
        <w:spacing w:after="0" w:line="480" w:lineRule="auto"/>
        <w:jc w:val="center"/>
        <w:rPr>
          <w:rFonts w:cstheme="minorHAnsi"/>
          <w:b/>
          <w:bCs/>
          <w:sz w:val="24"/>
          <w:szCs w:val="24"/>
        </w:rPr>
      </w:pPr>
      <w:r w:rsidRPr="002610A9">
        <w:rPr>
          <w:rFonts w:cstheme="minorHAnsi"/>
          <w:b/>
          <w:bCs/>
          <w:sz w:val="24"/>
          <w:szCs w:val="24"/>
        </w:rPr>
        <w:lastRenderedPageBreak/>
        <w:t xml:space="preserve">Figure </w:t>
      </w:r>
      <w:r w:rsidR="000A2066">
        <w:rPr>
          <w:rFonts w:cstheme="minorHAnsi"/>
          <w:b/>
          <w:bCs/>
          <w:sz w:val="24"/>
          <w:szCs w:val="24"/>
        </w:rPr>
        <w:t>2</w:t>
      </w:r>
    </w:p>
    <w:p w14:paraId="63CBFF42" w14:textId="4B44F3FB" w:rsidR="00122B69" w:rsidRPr="002610A9" w:rsidRDefault="00273006" w:rsidP="00AD3FCB">
      <w:pPr>
        <w:spacing w:after="0" w:line="480" w:lineRule="auto"/>
        <w:jc w:val="center"/>
        <w:rPr>
          <w:rFonts w:cstheme="minorHAnsi"/>
          <w:b/>
          <w:bCs/>
          <w:sz w:val="24"/>
          <w:szCs w:val="24"/>
        </w:rPr>
      </w:pPr>
      <w:r>
        <w:rPr>
          <w:rFonts w:cstheme="minorHAnsi"/>
          <w:b/>
          <w:bCs/>
          <w:sz w:val="24"/>
          <w:szCs w:val="24"/>
        </w:rPr>
        <w:t>Estimated</w:t>
      </w:r>
      <w:r w:rsidR="00583F58">
        <w:rPr>
          <w:rFonts w:cstheme="minorHAnsi"/>
          <w:b/>
          <w:bCs/>
          <w:sz w:val="24"/>
          <w:szCs w:val="24"/>
        </w:rPr>
        <w:t xml:space="preserve"> Annual</w:t>
      </w:r>
      <w:r>
        <w:rPr>
          <w:rFonts w:cstheme="minorHAnsi"/>
          <w:b/>
          <w:bCs/>
          <w:sz w:val="24"/>
          <w:szCs w:val="24"/>
        </w:rPr>
        <w:t xml:space="preserve"> </w:t>
      </w:r>
      <w:r w:rsidR="00122B69" w:rsidRPr="002610A9">
        <w:rPr>
          <w:rFonts w:cstheme="minorHAnsi"/>
          <w:b/>
          <w:bCs/>
          <w:sz w:val="24"/>
          <w:szCs w:val="24"/>
        </w:rPr>
        <w:t>Economic Impact on Real Gross Domestic Product</w:t>
      </w:r>
    </w:p>
    <w:p w14:paraId="240C7F2A" w14:textId="77777777" w:rsidR="00122B69" w:rsidRPr="002610A9" w:rsidRDefault="00122B69" w:rsidP="00AD3FCB">
      <w:pPr>
        <w:spacing w:after="0" w:line="480" w:lineRule="auto"/>
        <w:jc w:val="center"/>
        <w:rPr>
          <w:rFonts w:cstheme="minorHAnsi"/>
          <w:b/>
          <w:bCs/>
          <w:sz w:val="24"/>
          <w:szCs w:val="24"/>
        </w:rPr>
      </w:pPr>
      <w:proofErr w:type="spellStart"/>
      <w:r w:rsidRPr="002610A9">
        <w:rPr>
          <w:rFonts w:cstheme="minorHAnsi"/>
          <w:b/>
          <w:bCs/>
          <w:sz w:val="24"/>
          <w:szCs w:val="24"/>
        </w:rPr>
        <w:t>Energix</w:t>
      </w:r>
      <w:proofErr w:type="spellEnd"/>
      <w:r w:rsidRPr="002610A9">
        <w:rPr>
          <w:rFonts w:cstheme="minorHAnsi"/>
          <w:b/>
          <w:bCs/>
          <w:sz w:val="24"/>
          <w:szCs w:val="24"/>
        </w:rPr>
        <w:t xml:space="preserve"> US, LLC Investment in the Commonwealth of Virginia</w:t>
      </w:r>
    </w:p>
    <w:p w14:paraId="0E772F39" w14:textId="77777777" w:rsidR="00122B69" w:rsidRPr="002610A9" w:rsidRDefault="00122B69" w:rsidP="00AD3FCB">
      <w:pPr>
        <w:spacing w:after="0" w:line="480" w:lineRule="auto"/>
        <w:jc w:val="center"/>
        <w:rPr>
          <w:rFonts w:cstheme="minorHAnsi"/>
          <w:b/>
          <w:bCs/>
          <w:sz w:val="24"/>
          <w:szCs w:val="24"/>
        </w:rPr>
      </w:pPr>
      <w:r w:rsidRPr="002610A9">
        <w:rPr>
          <w:rFonts w:cstheme="minorHAnsi"/>
          <w:b/>
          <w:bCs/>
          <w:sz w:val="24"/>
          <w:szCs w:val="24"/>
        </w:rPr>
        <w:t>2019 - 2025</w:t>
      </w:r>
    </w:p>
    <w:p w14:paraId="0D5B63B2" w14:textId="77777777" w:rsidR="00122B69" w:rsidRDefault="00122B69" w:rsidP="00122B69">
      <w:pPr>
        <w:jc w:val="center"/>
        <w:rPr>
          <w:rFonts w:cstheme="minorHAnsi"/>
          <w:sz w:val="24"/>
          <w:szCs w:val="24"/>
        </w:rPr>
      </w:pPr>
      <w:r>
        <w:rPr>
          <w:rFonts w:cstheme="minorHAnsi"/>
          <w:noProof/>
          <w:sz w:val="24"/>
          <w:szCs w:val="24"/>
        </w:rPr>
        <w:drawing>
          <wp:inline distT="0" distB="0" distL="0" distR="0" wp14:anchorId="060C49CE" wp14:editId="4C222058">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8A565E" w14:textId="0E590F1C" w:rsidR="00122B69" w:rsidRPr="00AD3FCB" w:rsidRDefault="00AD3FCB" w:rsidP="00AD3FCB">
      <w:pPr>
        <w:spacing w:after="0" w:line="240" w:lineRule="auto"/>
        <w:jc w:val="both"/>
        <w:rPr>
          <w:rFonts w:cstheme="minorHAnsi"/>
          <w:sz w:val="24"/>
          <w:szCs w:val="24"/>
        </w:rPr>
      </w:pPr>
      <w:r>
        <w:rPr>
          <w:rFonts w:cstheme="minorHAnsi"/>
          <w:sz w:val="24"/>
          <w:szCs w:val="24"/>
        </w:rPr>
        <w:t xml:space="preserve">Source: </w:t>
      </w:r>
      <w:proofErr w:type="spellStart"/>
      <w:r>
        <w:rPr>
          <w:rFonts w:cstheme="minorHAnsi"/>
          <w:sz w:val="24"/>
          <w:szCs w:val="24"/>
        </w:rPr>
        <w:t>Dragas</w:t>
      </w:r>
      <w:proofErr w:type="spellEnd"/>
      <w:r>
        <w:rPr>
          <w:rFonts w:cstheme="minorHAnsi"/>
          <w:sz w:val="24"/>
          <w:szCs w:val="24"/>
        </w:rPr>
        <w:t xml:space="preserve"> Center for Economic Analysis and Policy, 2019.</w:t>
      </w:r>
      <w:r w:rsidR="005F145F">
        <w:rPr>
          <w:rFonts w:cstheme="minorHAnsi"/>
          <w:sz w:val="24"/>
          <w:szCs w:val="24"/>
        </w:rPr>
        <w:t xml:space="preserve"> Estimated annual economic impact represents the incremental increase in real GDP each year as a result of </w:t>
      </w:r>
      <w:proofErr w:type="spellStart"/>
      <w:r w:rsidR="005F145F">
        <w:rPr>
          <w:rFonts w:cstheme="minorHAnsi"/>
          <w:sz w:val="24"/>
          <w:szCs w:val="24"/>
        </w:rPr>
        <w:t>Energix’s</w:t>
      </w:r>
      <w:proofErr w:type="spellEnd"/>
      <w:r w:rsidR="005F145F">
        <w:rPr>
          <w:rFonts w:cstheme="minorHAnsi"/>
          <w:sz w:val="24"/>
          <w:szCs w:val="24"/>
        </w:rPr>
        <w:t xml:space="preserve"> planned $130 million investment and operation of their solar farm facilities</w:t>
      </w:r>
      <w:r w:rsidR="0035589F">
        <w:rPr>
          <w:rFonts w:cstheme="minorHAnsi"/>
          <w:sz w:val="24"/>
          <w:szCs w:val="24"/>
        </w:rPr>
        <w:t>.</w:t>
      </w:r>
      <w:r w:rsidR="005F145F">
        <w:rPr>
          <w:rFonts w:cstheme="minorHAnsi"/>
          <w:sz w:val="24"/>
          <w:szCs w:val="24"/>
        </w:rPr>
        <w:t xml:space="preserve"> </w:t>
      </w:r>
    </w:p>
    <w:p w14:paraId="159952B2" w14:textId="77777777" w:rsidR="00AD3FCB" w:rsidRDefault="00AD3FCB">
      <w:pPr>
        <w:rPr>
          <w:rFonts w:cstheme="minorHAnsi"/>
          <w:b/>
          <w:bCs/>
          <w:sz w:val="24"/>
          <w:szCs w:val="24"/>
        </w:rPr>
      </w:pPr>
      <w:r>
        <w:rPr>
          <w:rFonts w:cstheme="minorHAnsi"/>
          <w:b/>
          <w:bCs/>
          <w:sz w:val="24"/>
          <w:szCs w:val="24"/>
        </w:rPr>
        <w:br w:type="page"/>
      </w:r>
    </w:p>
    <w:p w14:paraId="6AC2DA4B" w14:textId="251F3D71" w:rsidR="004C6954" w:rsidRPr="002610A9" w:rsidRDefault="004C6954" w:rsidP="004C6954">
      <w:pPr>
        <w:spacing w:after="0" w:line="480" w:lineRule="auto"/>
        <w:jc w:val="center"/>
        <w:rPr>
          <w:rFonts w:cstheme="minorHAnsi"/>
          <w:b/>
          <w:bCs/>
          <w:sz w:val="24"/>
          <w:szCs w:val="24"/>
        </w:rPr>
      </w:pPr>
      <w:r w:rsidRPr="002610A9">
        <w:rPr>
          <w:rFonts w:cstheme="minorHAnsi"/>
          <w:b/>
          <w:bCs/>
          <w:sz w:val="24"/>
          <w:szCs w:val="24"/>
        </w:rPr>
        <w:lastRenderedPageBreak/>
        <w:t xml:space="preserve">Figure </w:t>
      </w:r>
      <w:r w:rsidR="00D0077B">
        <w:rPr>
          <w:rFonts w:cstheme="minorHAnsi"/>
          <w:b/>
          <w:bCs/>
          <w:sz w:val="24"/>
          <w:szCs w:val="24"/>
        </w:rPr>
        <w:t>3</w:t>
      </w:r>
    </w:p>
    <w:p w14:paraId="503D6149" w14:textId="4F4B0C7D" w:rsidR="004C6954" w:rsidRPr="002610A9" w:rsidRDefault="004C6954" w:rsidP="004C6954">
      <w:pPr>
        <w:spacing w:after="0" w:line="480" w:lineRule="auto"/>
        <w:jc w:val="center"/>
        <w:rPr>
          <w:rFonts w:cstheme="minorHAnsi"/>
          <w:b/>
          <w:bCs/>
          <w:sz w:val="24"/>
          <w:szCs w:val="24"/>
        </w:rPr>
      </w:pPr>
      <w:r>
        <w:rPr>
          <w:rFonts w:cstheme="minorHAnsi"/>
          <w:b/>
          <w:bCs/>
          <w:sz w:val="24"/>
          <w:szCs w:val="24"/>
        </w:rPr>
        <w:t xml:space="preserve">Cumulative </w:t>
      </w:r>
      <w:r w:rsidRPr="002610A9">
        <w:rPr>
          <w:rFonts w:cstheme="minorHAnsi"/>
          <w:b/>
          <w:bCs/>
          <w:sz w:val="24"/>
          <w:szCs w:val="24"/>
        </w:rPr>
        <w:t>Economic Impact on Real Gross Domestic Product</w:t>
      </w:r>
    </w:p>
    <w:p w14:paraId="5DCA18E4" w14:textId="77777777" w:rsidR="004C6954" w:rsidRPr="002610A9" w:rsidRDefault="004C6954" w:rsidP="004C6954">
      <w:pPr>
        <w:spacing w:after="0" w:line="480" w:lineRule="auto"/>
        <w:jc w:val="center"/>
        <w:rPr>
          <w:rFonts w:cstheme="minorHAnsi"/>
          <w:b/>
          <w:bCs/>
          <w:sz w:val="24"/>
          <w:szCs w:val="24"/>
        </w:rPr>
      </w:pPr>
      <w:proofErr w:type="spellStart"/>
      <w:r w:rsidRPr="002610A9">
        <w:rPr>
          <w:rFonts w:cstheme="minorHAnsi"/>
          <w:b/>
          <w:bCs/>
          <w:sz w:val="24"/>
          <w:szCs w:val="24"/>
        </w:rPr>
        <w:t>Energix</w:t>
      </w:r>
      <w:proofErr w:type="spellEnd"/>
      <w:r w:rsidRPr="002610A9">
        <w:rPr>
          <w:rFonts w:cstheme="minorHAnsi"/>
          <w:b/>
          <w:bCs/>
          <w:sz w:val="24"/>
          <w:szCs w:val="24"/>
        </w:rPr>
        <w:t xml:space="preserve"> US, LLC Investment in the Commonwealth of Virginia</w:t>
      </w:r>
    </w:p>
    <w:p w14:paraId="2D29C7D5" w14:textId="77777777" w:rsidR="004C6954" w:rsidRPr="002610A9" w:rsidRDefault="004C6954" w:rsidP="004C6954">
      <w:pPr>
        <w:spacing w:after="0" w:line="480" w:lineRule="auto"/>
        <w:jc w:val="center"/>
        <w:rPr>
          <w:rFonts w:cstheme="minorHAnsi"/>
          <w:b/>
          <w:bCs/>
          <w:sz w:val="24"/>
          <w:szCs w:val="24"/>
        </w:rPr>
      </w:pPr>
      <w:r w:rsidRPr="002610A9">
        <w:rPr>
          <w:rFonts w:cstheme="minorHAnsi"/>
          <w:b/>
          <w:bCs/>
          <w:sz w:val="24"/>
          <w:szCs w:val="24"/>
        </w:rPr>
        <w:t>2019 - 2025</w:t>
      </w:r>
    </w:p>
    <w:p w14:paraId="36E40A86" w14:textId="77777777" w:rsidR="004C6954" w:rsidRDefault="004C6954" w:rsidP="004C6954">
      <w:pPr>
        <w:jc w:val="center"/>
        <w:rPr>
          <w:rFonts w:cstheme="minorHAnsi"/>
          <w:sz w:val="24"/>
          <w:szCs w:val="24"/>
        </w:rPr>
      </w:pPr>
      <w:r>
        <w:rPr>
          <w:rFonts w:cstheme="minorHAnsi"/>
          <w:noProof/>
          <w:sz w:val="24"/>
          <w:szCs w:val="24"/>
        </w:rPr>
        <w:drawing>
          <wp:inline distT="0" distB="0" distL="0" distR="0" wp14:anchorId="18CD7D49" wp14:editId="42644BF3">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5748FD8" w14:textId="71FB9A97" w:rsidR="004C6954" w:rsidRPr="0035589F" w:rsidRDefault="004C6954" w:rsidP="0035589F">
      <w:pPr>
        <w:spacing w:after="0" w:line="240" w:lineRule="auto"/>
        <w:jc w:val="both"/>
        <w:rPr>
          <w:rFonts w:cstheme="minorHAnsi"/>
          <w:sz w:val="24"/>
          <w:szCs w:val="24"/>
        </w:rPr>
      </w:pPr>
      <w:r>
        <w:rPr>
          <w:rFonts w:cstheme="minorHAnsi"/>
          <w:sz w:val="24"/>
          <w:szCs w:val="24"/>
        </w:rPr>
        <w:t xml:space="preserve">Source: </w:t>
      </w:r>
      <w:proofErr w:type="spellStart"/>
      <w:r>
        <w:rPr>
          <w:rFonts w:cstheme="minorHAnsi"/>
          <w:sz w:val="24"/>
          <w:szCs w:val="24"/>
        </w:rPr>
        <w:t>Dragas</w:t>
      </w:r>
      <w:proofErr w:type="spellEnd"/>
      <w:r>
        <w:rPr>
          <w:rFonts w:cstheme="minorHAnsi"/>
          <w:sz w:val="24"/>
          <w:szCs w:val="24"/>
        </w:rPr>
        <w:t xml:space="preserve"> Center for Economic Analysis and Policy, 2019.</w:t>
      </w:r>
      <w:r w:rsidR="005F145F">
        <w:rPr>
          <w:rFonts w:cstheme="minorHAnsi"/>
          <w:sz w:val="24"/>
          <w:szCs w:val="24"/>
        </w:rPr>
        <w:t xml:space="preserve"> Cumulative economic impact re</w:t>
      </w:r>
      <w:r w:rsidR="0035589F">
        <w:rPr>
          <w:rFonts w:cstheme="minorHAnsi"/>
          <w:sz w:val="24"/>
          <w:szCs w:val="24"/>
        </w:rPr>
        <w:t>presents</w:t>
      </w:r>
      <w:r w:rsidR="005F145F">
        <w:rPr>
          <w:rFonts w:cstheme="minorHAnsi"/>
          <w:sz w:val="24"/>
          <w:szCs w:val="24"/>
        </w:rPr>
        <w:t xml:space="preserve"> the </w:t>
      </w:r>
      <w:r w:rsidR="0035589F">
        <w:rPr>
          <w:rFonts w:cstheme="minorHAnsi"/>
          <w:sz w:val="24"/>
          <w:szCs w:val="24"/>
        </w:rPr>
        <w:t xml:space="preserve">sum of the incremental increases in real GDP as a result of </w:t>
      </w:r>
      <w:proofErr w:type="spellStart"/>
      <w:r w:rsidR="0035589F">
        <w:rPr>
          <w:rFonts w:cstheme="minorHAnsi"/>
          <w:sz w:val="24"/>
          <w:szCs w:val="24"/>
        </w:rPr>
        <w:t>Energix’s</w:t>
      </w:r>
      <w:proofErr w:type="spellEnd"/>
      <w:r w:rsidR="0035589F">
        <w:rPr>
          <w:rFonts w:cstheme="minorHAnsi"/>
          <w:sz w:val="24"/>
          <w:szCs w:val="24"/>
        </w:rPr>
        <w:t xml:space="preserve"> planned $130 million investment and operation of their solar farm facilities. </w:t>
      </w:r>
    </w:p>
    <w:p w14:paraId="539FC1E9" w14:textId="43BF3127" w:rsidR="004C6954" w:rsidRDefault="004C6954">
      <w:pPr>
        <w:rPr>
          <w:rFonts w:cstheme="minorHAnsi"/>
          <w:b/>
          <w:bCs/>
          <w:sz w:val="24"/>
          <w:szCs w:val="24"/>
        </w:rPr>
      </w:pPr>
    </w:p>
    <w:p w14:paraId="12180478" w14:textId="77777777" w:rsidR="004C6954" w:rsidRDefault="004C6954">
      <w:pPr>
        <w:rPr>
          <w:rFonts w:cstheme="minorHAnsi"/>
          <w:b/>
          <w:bCs/>
          <w:sz w:val="24"/>
          <w:szCs w:val="24"/>
        </w:rPr>
      </w:pPr>
      <w:r>
        <w:rPr>
          <w:rFonts w:cstheme="minorHAnsi"/>
          <w:b/>
          <w:bCs/>
          <w:sz w:val="24"/>
          <w:szCs w:val="24"/>
        </w:rPr>
        <w:br w:type="page"/>
      </w:r>
    </w:p>
    <w:p w14:paraId="248D324A" w14:textId="3A84D9EA" w:rsidR="00122B69" w:rsidRPr="002610A9" w:rsidRDefault="00122B69" w:rsidP="00AD3FCB">
      <w:pPr>
        <w:spacing w:after="0" w:line="480" w:lineRule="auto"/>
        <w:jc w:val="center"/>
        <w:rPr>
          <w:rFonts w:cstheme="minorHAnsi"/>
          <w:b/>
          <w:bCs/>
          <w:sz w:val="24"/>
          <w:szCs w:val="24"/>
        </w:rPr>
      </w:pPr>
      <w:r w:rsidRPr="002610A9">
        <w:rPr>
          <w:rFonts w:cstheme="minorHAnsi"/>
          <w:b/>
          <w:bCs/>
          <w:sz w:val="24"/>
          <w:szCs w:val="24"/>
        </w:rPr>
        <w:lastRenderedPageBreak/>
        <w:t xml:space="preserve">Figure </w:t>
      </w:r>
      <w:r w:rsidR="00D0077B">
        <w:rPr>
          <w:rFonts w:cstheme="minorHAnsi"/>
          <w:b/>
          <w:bCs/>
          <w:sz w:val="24"/>
          <w:szCs w:val="24"/>
        </w:rPr>
        <w:t>4</w:t>
      </w:r>
    </w:p>
    <w:p w14:paraId="57CF05D1" w14:textId="5EE3B1B4" w:rsidR="00122B69" w:rsidRPr="002610A9" w:rsidRDefault="00273006" w:rsidP="00AD3FCB">
      <w:pPr>
        <w:spacing w:after="0" w:line="480" w:lineRule="auto"/>
        <w:jc w:val="center"/>
        <w:rPr>
          <w:rFonts w:cstheme="minorHAnsi"/>
          <w:b/>
          <w:bCs/>
          <w:sz w:val="24"/>
          <w:szCs w:val="24"/>
        </w:rPr>
      </w:pPr>
      <w:r>
        <w:rPr>
          <w:rFonts w:cstheme="minorHAnsi"/>
          <w:b/>
          <w:bCs/>
          <w:sz w:val="24"/>
          <w:szCs w:val="24"/>
        </w:rPr>
        <w:t xml:space="preserve">Estimated </w:t>
      </w:r>
      <w:r w:rsidR="00583F58">
        <w:rPr>
          <w:rFonts w:cstheme="minorHAnsi"/>
          <w:b/>
          <w:bCs/>
          <w:sz w:val="24"/>
          <w:szCs w:val="24"/>
        </w:rPr>
        <w:t xml:space="preserve">Annual </w:t>
      </w:r>
      <w:r w:rsidR="00122B69" w:rsidRPr="002610A9">
        <w:rPr>
          <w:rFonts w:cstheme="minorHAnsi"/>
          <w:b/>
          <w:bCs/>
          <w:sz w:val="24"/>
          <w:szCs w:val="24"/>
        </w:rPr>
        <w:t xml:space="preserve">Economic Impact on </w:t>
      </w:r>
      <w:r w:rsidR="00122B69">
        <w:rPr>
          <w:rFonts w:cstheme="minorHAnsi"/>
          <w:b/>
          <w:bCs/>
          <w:sz w:val="24"/>
          <w:szCs w:val="24"/>
        </w:rPr>
        <w:t>Private Nonfarm Payrolls (Jobs)</w:t>
      </w:r>
    </w:p>
    <w:p w14:paraId="3C1F00F6" w14:textId="77777777" w:rsidR="00122B69" w:rsidRPr="002610A9" w:rsidRDefault="00122B69" w:rsidP="00AD3FCB">
      <w:pPr>
        <w:spacing w:after="0" w:line="480" w:lineRule="auto"/>
        <w:jc w:val="center"/>
        <w:rPr>
          <w:rFonts w:cstheme="minorHAnsi"/>
          <w:b/>
          <w:bCs/>
          <w:sz w:val="24"/>
          <w:szCs w:val="24"/>
        </w:rPr>
      </w:pPr>
      <w:proofErr w:type="spellStart"/>
      <w:r w:rsidRPr="002610A9">
        <w:rPr>
          <w:rFonts w:cstheme="minorHAnsi"/>
          <w:b/>
          <w:bCs/>
          <w:sz w:val="24"/>
          <w:szCs w:val="24"/>
        </w:rPr>
        <w:t>Energix</w:t>
      </w:r>
      <w:proofErr w:type="spellEnd"/>
      <w:r w:rsidRPr="002610A9">
        <w:rPr>
          <w:rFonts w:cstheme="minorHAnsi"/>
          <w:b/>
          <w:bCs/>
          <w:sz w:val="24"/>
          <w:szCs w:val="24"/>
        </w:rPr>
        <w:t xml:space="preserve"> US, LLC Investment in the Commonwealth of Virginia</w:t>
      </w:r>
    </w:p>
    <w:p w14:paraId="0C74B5A3" w14:textId="77777777" w:rsidR="00122B69" w:rsidRPr="002610A9" w:rsidRDefault="00122B69" w:rsidP="00AD3FCB">
      <w:pPr>
        <w:spacing w:after="0" w:line="480" w:lineRule="auto"/>
        <w:jc w:val="center"/>
        <w:rPr>
          <w:rFonts w:cstheme="minorHAnsi"/>
          <w:b/>
          <w:bCs/>
          <w:sz w:val="24"/>
          <w:szCs w:val="24"/>
        </w:rPr>
      </w:pPr>
      <w:r w:rsidRPr="002610A9">
        <w:rPr>
          <w:rFonts w:cstheme="minorHAnsi"/>
          <w:b/>
          <w:bCs/>
          <w:sz w:val="24"/>
          <w:szCs w:val="24"/>
        </w:rPr>
        <w:t>2019 - 2025</w:t>
      </w:r>
    </w:p>
    <w:p w14:paraId="664FC85D" w14:textId="029C9A67" w:rsidR="00FC0325" w:rsidRDefault="00122B69" w:rsidP="00F864D8">
      <w:pPr>
        <w:jc w:val="center"/>
        <w:rPr>
          <w:rFonts w:cstheme="minorHAnsi"/>
          <w:sz w:val="24"/>
          <w:szCs w:val="24"/>
        </w:rPr>
      </w:pPr>
      <w:r>
        <w:rPr>
          <w:rFonts w:cstheme="minorHAnsi"/>
          <w:noProof/>
          <w:sz w:val="24"/>
          <w:szCs w:val="24"/>
        </w:rPr>
        <w:drawing>
          <wp:inline distT="0" distB="0" distL="0" distR="0" wp14:anchorId="2F42894B" wp14:editId="44F244EA">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3666C26" w14:textId="7F5F2B33" w:rsidR="00AD3FCB" w:rsidRPr="00AD3FCB" w:rsidRDefault="00AD3FCB" w:rsidP="00AD3FCB">
      <w:pPr>
        <w:spacing w:after="0" w:line="240" w:lineRule="auto"/>
        <w:jc w:val="both"/>
        <w:rPr>
          <w:rFonts w:cstheme="minorHAnsi"/>
          <w:sz w:val="24"/>
          <w:szCs w:val="24"/>
        </w:rPr>
      </w:pPr>
      <w:r>
        <w:rPr>
          <w:rFonts w:cstheme="minorHAnsi"/>
          <w:sz w:val="24"/>
          <w:szCs w:val="24"/>
        </w:rPr>
        <w:t xml:space="preserve">Source: </w:t>
      </w:r>
      <w:proofErr w:type="spellStart"/>
      <w:r>
        <w:rPr>
          <w:rFonts w:cstheme="minorHAnsi"/>
          <w:sz w:val="24"/>
          <w:szCs w:val="24"/>
        </w:rPr>
        <w:t>Dragas</w:t>
      </w:r>
      <w:proofErr w:type="spellEnd"/>
      <w:r>
        <w:rPr>
          <w:rFonts w:cstheme="minorHAnsi"/>
          <w:sz w:val="24"/>
          <w:szCs w:val="24"/>
        </w:rPr>
        <w:t xml:space="preserve"> Center for Economic Analysis and Policy, 2019.</w:t>
      </w:r>
      <w:r w:rsidR="0035589F">
        <w:rPr>
          <w:rFonts w:cstheme="minorHAnsi"/>
          <w:sz w:val="24"/>
          <w:szCs w:val="24"/>
        </w:rPr>
        <w:t xml:space="preserve"> Estimated annual economic impact represents the incremental increase jobs each year as a result of </w:t>
      </w:r>
      <w:proofErr w:type="spellStart"/>
      <w:r w:rsidR="0035589F">
        <w:rPr>
          <w:rFonts w:cstheme="minorHAnsi"/>
          <w:sz w:val="24"/>
          <w:szCs w:val="24"/>
        </w:rPr>
        <w:t>Energix’s</w:t>
      </w:r>
      <w:proofErr w:type="spellEnd"/>
      <w:r w:rsidR="0035589F">
        <w:rPr>
          <w:rFonts w:cstheme="minorHAnsi"/>
          <w:sz w:val="24"/>
          <w:szCs w:val="24"/>
        </w:rPr>
        <w:t xml:space="preserve"> planned $130 million investment and operation of their solar farm facilities.</w:t>
      </w:r>
    </w:p>
    <w:p w14:paraId="4CDC07B5" w14:textId="77777777" w:rsidR="00AD3FCB" w:rsidRPr="00F864D8" w:rsidRDefault="00AD3FCB" w:rsidP="00F864D8">
      <w:pPr>
        <w:jc w:val="center"/>
        <w:rPr>
          <w:rFonts w:cstheme="minorHAnsi"/>
          <w:sz w:val="24"/>
          <w:szCs w:val="24"/>
        </w:rPr>
      </w:pPr>
    </w:p>
    <w:p w14:paraId="7E93B1DC" w14:textId="4A3637B9" w:rsidR="00FC0325" w:rsidRDefault="00FC0325">
      <w:pPr>
        <w:rPr>
          <w:rFonts w:cstheme="minorHAnsi"/>
          <w:b/>
          <w:sz w:val="24"/>
          <w:szCs w:val="24"/>
        </w:rPr>
        <w:sectPr w:rsidR="00FC0325" w:rsidSect="00FD00E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0"/>
          <w:cols w:space="720"/>
          <w:titlePg/>
          <w:docGrid w:linePitch="360"/>
        </w:sectPr>
      </w:pPr>
    </w:p>
    <w:p w14:paraId="4D13D885" w14:textId="03E36FE2" w:rsidR="00967BC1" w:rsidRDefault="00B52ED6" w:rsidP="00967BC1">
      <w:pPr>
        <w:spacing w:after="0" w:line="240" w:lineRule="auto"/>
        <w:jc w:val="center"/>
        <w:rPr>
          <w:rFonts w:cstheme="minorHAnsi"/>
          <w:sz w:val="24"/>
          <w:szCs w:val="24"/>
        </w:rPr>
      </w:pPr>
      <w:r w:rsidRPr="00FC0325">
        <w:rPr>
          <w:rFonts w:cstheme="minorHAnsi"/>
          <w:b/>
          <w:sz w:val="24"/>
          <w:szCs w:val="24"/>
        </w:rPr>
        <w:lastRenderedPageBreak/>
        <w:t xml:space="preserve">Table </w:t>
      </w:r>
      <w:r w:rsidR="00C93120">
        <w:rPr>
          <w:rFonts w:cstheme="minorHAnsi"/>
          <w:b/>
          <w:sz w:val="24"/>
          <w:szCs w:val="24"/>
        </w:rPr>
        <w:t>4</w:t>
      </w:r>
    </w:p>
    <w:p w14:paraId="56CFD078" w14:textId="36B15B99" w:rsidR="00B52ED6" w:rsidRPr="00967BC1" w:rsidRDefault="00967BC1" w:rsidP="00967BC1">
      <w:pPr>
        <w:spacing w:after="0" w:line="240" w:lineRule="auto"/>
        <w:jc w:val="center"/>
        <w:rPr>
          <w:rFonts w:cstheme="minorHAnsi"/>
          <w:sz w:val="24"/>
          <w:szCs w:val="24"/>
        </w:rPr>
      </w:pPr>
      <w:r w:rsidRPr="00967BC1">
        <w:rPr>
          <w:rFonts w:cstheme="minorHAnsi"/>
          <w:b/>
          <w:sz w:val="24"/>
          <w:szCs w:val="24"/>
        </w:rPr>
        <w:t>Estimated Economic Impacts</w:t>
      </w:r>
    </w:p>
    <w:p w14:paraId="6FBE8BC4" w14:textId="77777777" w:rsidR="00967BC1" w:rsidRDefault="00B52ED6" w:rsidP="00967BC1">
      <w:pPr>
        <w:spacing w:after="0"/>
        <w:jc w:val="center"/>
        <w:rPr>
          <w:rFonts w:cstheme="minorHAnsi"/>
          <w:b/>
          <w:sz w:val="24"/>
          <w:szCs w:val="24"/>
        </w:rPr>
      </w:pPr>
      <w:proofErr w:type="spellStart"/>
      <w:r w:rsidRPr="00967BC1">
        <w:rPr>
          <w:rFonts w:cstheme="minorHAnsi"/>
          <w:b/>
          <w:sz w:val="24"/>
          <w:szCs w:val="24"/>
        </w:rPr>
        <w:t>Energix</w:t>
      </w:r>
      <w:proofErr w:type="spellEnd"/>
      <w:r w:rsidRPr="00967BC1">
        <w:rPr>
          <w:rFonts w:cstheme="minorHAnsi"/>
          <w:b/>
          <w:sz w:val="24"/>
          <w:szCs w:val="24"/>
        </w:rPr>
        <w:t xml:space="preserve"> US, LLC Investment in the Commonwealth of Virginia</w:t>
      </w:r>
    </w:p>
    <w:p w14:paraId="60ADD802" w14:textId="61D627B7" w:rsidR="00967BC1" w:rsidRPr="00967BC1" w:rsidRDefault="00967BC1" w:rsidP="00967BC1">
      <w:pPr>
        <w:spacing w:after="0"/>
        <w:jc w:val="center"/>
        <w:rPr>
          <w:rFonts w:cstheme="minorHAnsi"/>
          <w:b/>
          <w:sz w:val="24"/>
          <w:szCs w:val="24"/>
        </w:rPr>
      </w:pPr>
      <w:r w:rsidRPr="00967BC1">
        <w:rPr>
          <w:rFonts w:cstheme="minorHAnsi"/>
          <w:b/>
          <w:sz w:val="24"/>
          <w:szCs w:val="24"/>
        </w:rPr>
        <w:t>2019 - 2025</w:t>
      </w:r>
    </w:p>
    <w:p w14:paraId="4DDFEE0C" w14:textId="77777777" w:rsidR="00B52ED6" w:rsidRPr="003A755A" w:rsidRDefault="00B52ED6" w:rsidP="00B52ED6">
      <w:pPr>
        <w:pStyle w:val="ListParagraph"/>
        <w:ind w:left="360"/>
        <w:jc w:val="center"/>
        <w:rPr>
          <w:rFonts w:asciiTheme="minorHAnsi" w:hAnsiTheme="minorHAnsi" w:cstheme="minorHAnsi"/>
          <w:b/>
          <w:sz w:val="24"/>
          <w:szCs w:val="24"/>
        </w:rPr>
      </w:pPr>
    </w:p>
    <w:tbl>
      <w:tblPr>
        <w:tblStyle w:val="TableGrid"/>
        <w:tblW w:w="5000" w:type="pct"/>
        <w:tblLook w:val="04A0" w:firstRow="1" w:lastRow="0" w:firstColumn="1" w:lastColumn="0" w:noHBand="0" w:noVBand="1"/>
      </w:tblPr>
      <w:tblGrid>
        <w:gridCol w:w="4207"/>
        <w:gridCol w:w="1249"/>
        <w:gridCol w:w="1248"/>
        <w:gridCol w:w="1248"/>
        <w:gridCol w:w="1251"/>
        <w:gridCol w:w="1248"/>
        <w:gridCol w:w="1248"/>
        <w:gridCol w:w="1251"/>
      </w:tblGrid>
      <w:tr w:rsidR="00FC0325" w:rsidRPr="00967BC1" w14:paraId="32B04142" w14:textId="56E1010D" w:rsidTr="00FC0325">
        <w:trPr>
          <w:trHeight w:val="315"/>
        </w:trPr>
        <w:tc>
          <w:tcPr>
            <w:tcW w:w="1624" w:type="pct"/>
            <w:noWrap/>
            <w:hideMark/>
          </w:tcPr>
          <w:p w14:paraId="22BC2FAF" w14:textId="77777777" w:rsidR="00FC0325" w:rsidRPr="001E5A0C" w:rsidRDefault="00FC0325" w:rsidP="00463BBF">
            <w:pPr>
              <w:rPr>
                <w:rFonts w:asciiTheme="minorHAnsi" w:hAnsiTheme="minorHAnsi" w:cstheme="minorHAnsi"/>
                <w:sz w:val="24"/>
                <w:szCs w:val="24"/>
              </w:rPr>
            </w:pPr>
          </w:p>
        </w:tc>
        <w:tc>
          <w:tcPr>
            <w:tcW w:w="482" w:type="pct"/>
            <w:noWrap/>
            <w:hideMark/>
          </w:tcPr>
          <w:p w14:paraId="287E0094" w14:textId="77777777" w:rsidR="00FC0325" w:rsidRPr="001E5A0C" w:rsidRDefault="00FC0325" w:rsidP="00463BBF">
            <w:pPr>
              <w:jc w:val="center"/>
              <w:rPr>
                <w:rFonts w:asciiTheme="minorHAnsi" w:hAnsiTheme="minorHAnsi" w:cstheme="minorHAnsi"/>
                <w:b/>
                <w:bCs/>
                <w:sz w:val="24"/>
                <w:szCs w:val="24"/>
              </w:rPr>
            </w:pPr>
            <w:r w:rsidRPr="001E5A0C">
              <w:rPr>
                <w:rFonts w:asciiTheme="minorHAnsi" w:hAnsiTheme="minorHAnsi" w:cstheme="minorHAnsi"/>
                <w:b/>
                <w:bCs/>
                <w:sz w:val="24"/>
                <w:szCs w:val="24"/>
              </w:rPr>
              <w:t>2019</w:t>
            </w:r>
          </w:p>
        </w:tc>
        <w:tc>
          <w:tcPr>
            <w:tcW w:w="482" w:type="pct"/>
            <w:noWrap/>
            <w:hideMark/>
          </w:tcPr>
          <w:p w14:paraId="04E8E37E" w14:textId="77777777" w:rsidR="00FC0325" w:rsidRPr="001E5A0C" w:rsidRDefault="00FC0325" w:rsidP="00463BBF">
            <w:pPr>
              <w:jc w:val="center"/>
              <w:rPr>
                <w:rFonts w:asciiTheme="minorHAnsi" w:hAnsiTheme="minorHAnsi" w:cstheme="minorHAnsi"/>
                <w:b/>
                <w:bCs/>
                <w:sz w:val="24"/>
                <w:szCs w:val="24"/>
              </w:rPr>
            </w:pPr>
            <w:r w:rsidRPr="001E5A0C">
              <w:rPr>
                <w:rFonts w:asciiTheme="minorHAnsi" w:hAnsiTheme="minorHAnsi" w:cstheme="minorHAnsi"/>
                <w:b/>
                <w:bCs/>
                <w:sz w:val="24"/>
                <w:szCs w:val="24"/>
              </w:rPr>
              <w:t>2020</w:t>
            </w:r>
          </w:p>
        </w:tc>
        <w:tc>
          <w:tcPr>
            <w:tcW w:w="482" w:type="pct"/>
            <w:noWrap/>
            <w:hideMark/>
          </w:tcPr>
          <w:p w14:paraId="756C1550" w14:textId="77777777" w:rsidR="00FC0325" w:rsidRPr="001E5A0C" w:rsidRDefault="00FC0325" w:rsidP="00463BBF">
            <w:pPr>
              <w:jc w:val="center"/>
              <w:rPr>
                <w:rFonts w:asciiTheme="minorHAnsi" w:hAnsiTheme="minorHAnsi" w:cstheme="minorHAnsi"/>
                <w:b/>
                <w:bCs/>
                <w:sz w:val="24"/>
                <w:szCs w:val="24"/>
              </w:rPr>
            </w:pPr>
            <w:r w:rsidRPr="001E5A0C">
              <w:rPr>
                <w:rFonts w:asciiTheme="minorHAnsi" w:hAnsiTheme="minorHAnsi" w:cstheme="minorHAnsi"/>
                <w:b/>
                <w:bCs/>
                <w:sz w:val="24"/>
                <w:szCs w:val="24"/>
              </w:rPr>
              <w:t>2021</w:t>
            </w:r>
          </w:p>
        </w:tc>
        <w:tc>
          <w:tcPr>
            <w:tcW w:w="483" w:type="pct"/>
            <w:noWrap/>
            <w:hideMark/>
          </w:tcPr>
          <w:p w14:paraId="4E7A9546" w14:textId="77777777" w:rsidR="00FC0325" w:rsidRPr="001E5A0C" w:rsidRDefault="00FC0325" w:rsidP="00463BBF">
            <w:pPr>
              <w:jc w:val="center"/>
              <w:rPr>
                <w:rFonts w:asciiTheme="minorHAnsi" w:hAnsiTheme="minorHAnsi" w:cstheme="minorHAnsi"/>
                <w:b/>
                <w:bCs/>
                <w:sz w:val="24"/>
                <w:szCs w:val="24"/>
              </w:rPr>
            </w:pPr>
            <w:r w:rsidRPr="001E5A0C">
              <w:rPr>
                <w:rFonts w:asciiTheme="minorHAnsi" w:hAnsiTheme="minorHAnsi" w:cstheme="minorHAnsi"/>
                <w:b/>
                <w:bCs/>
                <w:sz w:val="24"/>
                <w:szCs w:val="24"/>
              </w:rPr>
              <w:t>2022</w:t>
            </w:r>
          </w:p>
        </w:tc>
        <w:tc>
          <w:tcPr>
            <w:tcW w:w="482" w:type="pct"/>
            <w:noWrap/>
            <w:hideMark/>
          </w:tcPr>
          <w:p w14:paraId="4FBD77F8" w14:textId="77777777" w:rsidR="00FC0325" w:rsidRPr="001E5A0C" w:rsidRDefault="00FC0325" w:rsidP="00463BBF">
            <w:pPr>
              <w:jc w:val="center"/>
              <w:rPr>
                <w:rFonts w:asciiTheme="minorHAnsi" w:hAnsiTheme="minorHAnsi" w:cstheme="minorHAnsi"/>
                <w:b/>
                <w:bCs/>
                <w:sz w:val="24"/>
                <w:szCs w:val="24"/>
              </w:rPr>
            </w:pPr>
            <w:r w:rsidRPr="001E5A0C">
              <w:rPr>
                <w:rFonts w:asciiTheme="minorHAnsi" w:hAnsiTheme="minorHAnsi" w:cstheme="minorHAnsi"/>
                <w:b/>
                <w:bCs/>
                <w:sz w:val="24"/>
                <w:szCs w:val="24"/>
              </w:rPr>
              <w:t>2023</w:t>
            </w:r>
          </w:p>
        </w:tc>
        <w:tc>
          <w:tcPr>
            <w:tcW w:w="482" w:type="pct"/>
          </w:tcPr>
          <w:p w14:paraId="1DC25379" w14:textId="3441318D" w:rsidR="00FC0325" w:rsidRPr="001E5A0C" w:rsidRDefault="00FC0325" w:rsidP="00463BBF">
            <w:pPr>
              <w:jc w:val="center"/>
              <w:rPr>
                <w:rFonts w:asciiTheme="minorHAnsi" w:hAnsiTheme="minorHAnsi" w:cstheme="minorHAnsi"/>
                <w:b/>
                <w:bCs/>
                <w:sz w:val="24"/>
                <w:szCs w:val="24"/>
              </w:rPr>
            </w:pPr>
            <w:r w:rsidRPr="001E5A0C">
              <w:rPr>
                <w:rFonts w:asciiTheme="minorHAnsi" w:hAnsiTheme="minorHAnsi" w:cstheme="minorHAnsi"/>
                <w:b/>
                <w:bCs/>
                <w:sz w:val="24"/>
                <w:szCs w:val="24"/>
              </w:rPr>
              <w:t>2024</w:t>
            </w:r>
          </w:p>
        </w:tc>
        <w:tc>
          <w:tcPr>
            <w:tcW w:w="483" w:type="pct"/>
          </w:tcPr>
          <w:p w14:paraId="10F23CE5" w14:textId="0C7EBEB2" w:rsidR="00FC0325" w:rsidRPr="001E5A0C" w:rsidRDefault="00FC0325" w:rsidP="00463BBF">
            <w:pPr>
              <w:jc w:val="center"/>
              <w:rPr>
                <w:rFonts w:asciiTheme="minorHAnsi" w:hAnsiTheme="minorHAnsi" w:cstheme="minorHAnsi"/>
                <w:b/>
                <w:bCs/>
                <w:sz w:val="24"/>
                <w:szCs w:val="24"/>
              </w:rPr>
            </w:pPr>
            <w:r w:rsidRPr="001E5A0C">
              <w:rPr>
                <w:rFonts w:asciiTheme="minorHAnsi" w:hAnsiTheme="minorHAnsi" w:cstheme="minorHAnsi"/>
                <w:b/>
                <w:bCs/>
                <w:sz w:val="24"/>
                <w:szCs w:val="24"/>
              </w:rPr>
              <w:t>2025</w:t>
            </w:r>
          </w:p>
        </w:tc>
      </w:tr>
      <w:tr w:rsidR="002A3E13" w:rsidRPr="00967BC1" w14:paraId="17C6BC5B" w14:textId="3816E99E" w:rsidTr="00463BBF">
        <w:trPr>
          <w:trHeight w:val="300"/>
        </w:trPr>
        <w:tc>
          <w:tcPr>
            <w:tcW w:w="1624" w:type="pct"/>
            <w:noWrap/>
            <w:hideMark/>
          </w:tcPr>
          <w:p w14:paraId="2EC4447D" w14:textId="41037DEA" w:rsidR="002A3E13" w:rsidRPr="001E5A0C" w:rsidRDefault="002A3E13" w:rsidP="002A3E13">
            <w:pPr>
              <w:rPr>
                <w:rFonts w:asciiTheme="minorHAnsi" w:hAnsiTheme="minorHAnsi" w:cstheme="minorHAnsi"/>
                <w:sz w:val="24"/>
                <w:szCs w:val="24"/>
              </w:rPr>
            </w:pPr>
            <w:r w:rsidRPr="001E5A0C">
              <w:rPr>
                <w:rFonts w:asciiTheme="minorHAnsi" w:hAnsiTheme="minorHAnsi" w:cstheme="minorHAnsi"/>
                <w:sz w:val="24"/>
                <w:szCs w:val="24"/>
              </w:rPr>
              <w:t>Total Employment (Jobs)</w:t>
            </w:r>
          </w:p>
        </w:tc>
        <w:tc>
          <w:tcPr>
            <w:tcW w:w="482" w:type="pct"/>
            <w:noWrap/>
            <w:hideMark/>
          </w:tcPr>
          <w:p w14:paraId="3A843C23" w14:textId="62C6D29A"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107</w:t>
            </w:r>
          </w:p>
        </w:tc>
        <w:tc>
          <w:tcPr>
            <w:tcW w:w="482" w:type="pct"/>
            <w:noWrap/>
            <w:hideMark/>
          </w:tcPr>
          <w:p w14:paraId="7E03E48D" w14:textId="5270F859"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251</w:t>
            </w:r>
          </w:p>
        </w:tc>
        <w:tc>
          <w:tcPr>
            <w:tcW w:w="482" w:type="pct"/>
            <w:noWrap/>
            <w:hideMark/>
          </w:tcPr>
          <w:p w14:paraId="7663ED41" w14:textId="016A72A6"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42</w:t>
            </w:r>
          </w:p>
        </w:tc>
        <w:tc>
          <w:tcPr>
            <w:tcW w:w="483" w:type="pct"/>
            <w:noWrap/>
            <w:hideMark/>
          </w:tcPr>
          <w:p w14:paraId="7291D683" w14:textId="4CD3AE28"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38</w:t>
            </w:r>
          </w:p>
        </w:tc>
        <w:tc>
          <w:tcPr>
            <w:tcW w:w="482" w:type="pct"/>
            <w:noWrap/>
            <w:hideMark/>
          </w:tcPr>
          <w:p w14:paraId="5FDF6230" w14:textId="28A1A4B4"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30</w:t>
            </w:r>
          </w:p>
        </w:tc>
        <w:tc>
          <w:tcPr>
            <w:tcW w:w="482" w:type="pct"/>
          </w:tcPr>
          <w:p w14:paraId="4E5B2DDF" w14:textId="778A3A62"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25</w:t>
            </w:r>
          </w:p>
        </w:tc>
        <w:tc>
          <w:tcPr>
            <w:tcW w:w="483" w:type="pct"/>
          </w:tcPr>
          <w:p w14:paraId="620D36BA" w14:textId="3D519BCF"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23</w:t>
            </w:r>
          </w:p>
        </w:tc>
      </w:tr>
      <w:tr w:rsidR="002A3E13" w:rsidRPr="00967BC1" w14:paraId="6B98B18B" w14:textId="2FF95FBA" w:rsidTr="00463BBF">
        <w:trPr>
          <w:trHeight w:val="300"/>
        </w:trPr>
        <w:tc>
          <w:tcPr>
            <w:tcW w:w="1624" w:type="pct"/>
            <w:noWrap/>
            <w:hideMark/>
          </w:tcPr>
          <w:p w14:paraId="3E34BEA2" w14:textId="48019828" w:rsidR="002A3E13" w:rsidRPr="001E5A0C" w:rsidRDefault="002A3E13" w:rsidP="002A3E13">
            <w:pPr>
              <w:rPr>
                <w:rFonts w:asciiTheme="minorHAnsi" w:hAnsiTheme="minorHAnsi" w:cstheme="minorHAnsi"/>
                <w:sz w:val="24"/>
                <w:szCs w:val="24"/>
              </w:rPr>
            </w:pPr>
            <w:r w:rsidRPr="001E5A0C">
              <w:rPr>
                <w:rFonts w:asciiTheme="minorHAnsi" w:hAnsiTheme="minorHAnsi" w:cstheme="minorHAnsi"/>
                <w:sz w:val="24"/>
                <w:szCs w:val="24"/>
              </w:rPr>
              <w:t>Private Non-Farm Employment (Jobs)</w:t>
            </w:r>
          </w:p>
        </w:tc>
        <w:tc>
          <w:tcPr>
            <w:tcW w:w="482" w:type="pct"/>
            <w:noWrap/>
            <w:hideMark/>
          </w:tcPr>
          <w:p w14:paraId="088222F3" w14:textId="0685E837"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102</w:t>
            </w:r>
          </w:p>
        </w:tc>
        <w:tc>
          <w:tcPr>
            <w:tcW w:w="482" w:type="pct"/>
            <w:noWrap/>
            <w:hideMark/>
          </w:tcPr>
          <w:p w14:paraId="03836C71" w14:textId="1F6FA040"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239</w:t>
            </w:r>
          </w:p>
        </w:tc>
        <w:tc>
          <w:tcPr>
            <w:tcW w:w="482" w:type="pct"/>
            <w:noWrap/>
            <w:hideMark/>
          </w:tcPr>
          <w:p w14:paraId="63E3EC50" w14:textId="39F9681F"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33</w:t>
            </w:r>
          </w:p>
        </w:tc>
        <w:tc>
          <w:tcPr>
            <w:tcW w:w="483" w:type="pct"/>
            <w:noWrap/>
            <w:hideMark/>
          </w:tcPr>
          <w:p w14:paraId="39ED9AEB" w14:textId="467092AC"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32</w:t>
            </w:r>
          </w:p>
        </w:tc>
        <w:tc>
          <w:tcPr>
            <w:tcW w:w="482" w:type="pct"/>
            <w:noWrap/>
            <w:hideMark/>
          </w:tcPr>
          <w:p w14:paraId="6B5D0BC0" w14:textId="0A8CD528"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25</w:t>
            </w:r>
          </w:p>
        </w:tc>
        <w:tc>
          <w:tcPr>
            <w:tcW w:w="482" w:type="pct"/>
          </w:tcPr>
          <w:p w14:paraId="454A7EAE" w14:textId="664B6C0C"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22</w:t>
            </w:r>
          </w:p>
        </w:tc>
        <w:tc>
          <w:tcPr>
            <w:tcW w:w="483" w:type="pct"/>
          </w:tcPr>
          <w:p w14:paraId="0CDA3A77" w14:textId="355C9262"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20</w:t>
            </w:r>
          </w:p>
        </w:tc>
      </w:tr>
      <w:tr w:rsidR="002A3E13" w:rsidRPr="00967BC1" w14:paraId="37C9F13F" w14:textId="2B019D2E" w:rsidTr="00463BBF">
        <w:trPr>
          <w:trHeight w:val="300"/>
        </w:trPr>
        <w:tc>
          <w:tcPr>
            <w:tcW w:w="1624" w:type="pct"/>
            <w:noWrap/>
            <w:hideMark/>
          </w:tcPr>
          <w:p w14:paraId="5BE017CE" w14:textId="77777777" w:rsidR="002A3E13" w:rsidRPr="001E5A0C" w:rsidRDefault="002A3E13" w:rsidP="002A3E13">
            <w:pPr>
              <w:rPr>
                <w:rFonts w:asciiTheme="minorHAnsi" w:hAnsiTheme="minorHAnsi" w:cstheme="minorHAnsi"/>
                <w:sz w:val="24"/>
                <w:szCs w:val="24"/>
              </w:rPr>
            </w:pPr>
            <w:r w:rsidRPr="001E5A0C">
              <w:rPr>
                <w:rFonts w:asciiTheme="minorHAnsi" w:hAnsiTheme="minorHAnsi" w:cstheme="minorHAnsi"/>
                <w:sz w:val="24"/>
                <w:szCs w:val="24"/>
              </w:rPr>
              <w:t>Residence Adjusted Employment</w:t>
            </w:r>
          </w:p>
        </w:tc>
        <w:tc>
          <w:tcPr>
            <w:tcW w:w="482" w:type="pct"/>
            <w:noWrap/>
            <w:hideMark/>
          </w:tcPr>
          <w:p w14:paraId="3EFE32D8" w14:textId="33DC3F85"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100</w:t>
            </w:r>
          </w:p>
        </w:tc>
        <w:tc>
          <w:tcPr>
            <w:tcW w:w="482" w:type="pct"/>
            <w:noWrap/>
            <w:hideMark/>
          </w:tcPr>
          <w:p w14:paraId="38F16FB8" w14:textId="25B1BF80"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234</w:t>
            </w:r>
          </w:p>
        </w:tc>
        <w:tc>
          <w:tcPr>
            <w:tcW w:w="482" w:type="pct"/>
            <w:noWrap/>
            <w:hideMark/>
          </w:tcPr>
          <w:p w14:paraId="2157CB39" w14:textId="07C159D6"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36</w:t>
            </w:r>
          </w:p>
        </w:tc>
        <w:tc>
          <w:tcPr>
            <w:tcW w:w="483" w:type="pct"/>
            <w:noWrap/>
            <w:hideMark/>
          </w:tcPr>
          <w:p w14:paraId="401C1A55" w14:textId="5D3FDAD3"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36</w:t>
            </w:r>
          </w:p>
        </w:tc>
        <w:tc>
          <w:tcPr>
            <w:tcW w:w="482" w:type="pct"/>
            <w:noWrap/>
            <w:hideMark/>
          </w:tcPr>
          <w:p w14:paraId="112AF371" w14:textId="15597361"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29</w:t>
            </w:r>
          </w:p>
        </w:tc>
        <w:tc>
          <w:tcPr>
            <w:tcW w:w="482" w:type="pct"/>
          </w:tcPr>
          <w:p w14:paraId="2A6A8E4C" w14:textId="1AA9C30D"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25</w:t>
            </w:r>
          </w:p>
        </w:tc>
        <w:tc>
          <w:tcPr>
            <w:tcW w:w="483" w:type="pct"/>
          </w:tcPr>
          <w:p w14:paraId="77F7BF28" w14:textId="5D01228F"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23</w:t>
            </w:r>
          </w:p>
        </w:tc>
      </w:tr>
      <w:tr w:rsidR="002A3E13" w:rsidRPr="00967BC1" w14:paraId="55ABE1D6" w14:textId="766D4C60" w:rsidTr="00463BBF">
        <w:trPr>
          <w:trHeight w:val="300"/>
        </w:trPr>
        <w:tc>
          <w:tcPr>
            <w:tcW w:w="1624" w:type="pct"/>
            <w:noWrap/>
            <w:hideMark/>
          </w:tcPr>
          <w:p w14:paraId="5938C465" w14:textId="77777777" w:rsidR="002A3E13" w:rsidRPr="001E5A0C" w:rsidRDefault="002A3E13" w:rsidP="002A3E13">
            <w:pPr>
              <w:rPr>
                <w:rFonts w:asciiTheme="minorHAnsi" w:hAnsiTheme="minorHAnsi" w:cstheme="minorHAnsi"/>
                <w:sz w:val="24"/>
                <w:szCs w:val="24"/>
              </w:rPr>
            </w:pPr>
            <w:r w:rsidRPr="001E5A0C">
              <w:rPr>
                <w:rFonts w:asciiTheme="minorHAnsi" w:hAnsiTheme="minorHAnsi" w:cstheme="minorHAnsi"/>
                <w:sz w:val="24"/>
                <w:szCs w:val="24"/>
              </w:rPr>
              <w:t>Population</w:t>
            </w:r>
          </w:p>
        </w:tc>
        <w:tc>
          <w:tcPr>
            <w:tcW w:w="482" w:type="pct"/>
            <w:noWrap/>
            <w:hideMark/>
          </w:tcPr>
          <w:p w14:paraId="71D32D9B" w14:textId="4BA46053"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30</w:t>
            </w:r>
          </w:p>
        </w:tc>
        <w:tc>
          <w:tcPr>
            <w:tcW w:w="482" w:type="pct"/>
            <w:noWrap/>
            <w:hideMark/>
          </w:tcPr>
          <w:p w14:paraId="4D89881F" w14:textId="134485A8"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94</w:t>
            </w:r>
          </w:p>
        </w:tc>
        <w:tc>
          <w:tcPr>
            <w:tcW w:w="482" w:type="pct"/>
            <w:noWrap/>
            <w:hideMark/>
          </w:tcPr>
          <w:p w14:paraId="3037EDFF" w14:textId="08A19F98"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78</w:t>
            </w:r>
          </w:p>
        </w:tc>
        <w:tc>
          <w:tcPr>
            <w:tcW w:w="483" w:type="pct"/>
            <w:noWrap/>
            <w:hideMark/>
          </w:tcPr>
          <w:p w14:paraId="6CB21637" w14:textId="73CBFA37"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70</w:t>
            </w:r>
          </w:p>
        </w:tc>
        <w:tc>
          <w:tcPr>
            <w:tcW w:w="482" w:type="pct"/>
            <w:noWrap/>
            <w:hideMark/>
          </w:tcPr>
          <w:p w14:paraId="070B403C" w14:textId="1FD5C28D"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62</w:t>
            </w:r>
          </w:p>
        </w:tc>
        <w:tc>
          <w:tcPr>
            <w:tcW w:w="482" w:type="pct"/>
          </w:tcPr>
          <w:p w14:paraId="756E6079" w14:textId="0A3AEC38"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55</w:t>
            </w:r>
          </w:p>
        </w:tc>
        <w:tc>
          <w:tcPr>
            <w:tcW w:w="483" w:type="pct"/>
          </w:tcPr>
          <w:p w14:paraId="5A17FFFA" w14:textId="2F7FB3CF"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50</w:t>
            </w:r>
          </w:p>
        </w:tc>
      </w:tr>
      <w:tr w:rsidR="002A3E13" w:rsidRPr="00967BC1" w14:paraId="62E26C10" w14:textId="65C3F275" w:rsidTr="00463BBF">
        <w:trPr>
          <w:trHeight w:val="300"/>
        </w:trPr>
        <w:tc>
          <w:tcPr>
            <w:tcW w:w="1624" w:type="pct"/>
            <w:noWrap/>
            <w:hideMark/>
          </w:tcPr>
          <w:p w14:paraId="3E03B6BE" w14:textId="77777777" w:rsidR="002A3E13" w:rsidRPr="001E5A0C" w:rsidRDefault="002A3E13" w:rsidP="002A3E13">
            <w:pPr>
              <w:rPr>
                <w:rFonts w:asciiTheme="minorHAnsi" w:hAnsiTheme="minorHAnsi" w:cstheme="minorHAnsi"/>
                <w:sz w:val="24"/>
                <w:szCs w:val="24"/>
              </w:rPr>
            </w:pPr>
            <w:r w:rsidRPr="001E5A0C">
              <w:rPr>
                <w:rFonts w:asciiTheme="minorHAnsi" w:hAnsiTheme="minorHAnsi" w:cstheme="minorHAnsi"/>
                <w:sz w:val="24"/>
                <w:szCs w:val="24"/>
              </w:rPr>
              <w:t>Labor Force</w:t>
            </w:r>
          </w:p>
        </w:tc>
        <w:tc>
          <w:tcPr>
            <w:tcW w:w="482" w:type="pct"/>
            <w:noWrap/>
            <w:hideMark/>
          </w:tcPr>
          <w:p w14:paraId="2F86755C" w14:textId="18C88A3E"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25</w:t>
            </w:r>
          </w:p>
        </w:tc>
        <w:tc>
          <w:tcPr>
            <w:tcW w:w="482" w:type="pct"/>
            <w:noWrap/>
            <w:hideMark/>
          </w:tcPr>
          <w:p w14:paraId="54511832" w14:textId="32D4867A"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74</w:t>
            </w:r>
          </w:p>
        </w:tc>
        <w:tc>
          <w:tcPr>
            <w:tcW w:w="482" w:type="pct"/>
            <w:noWrap/>
            <w:hideMark/>
          </w:tcPr>
          <w:p w14:paraId="461A24D5" w14:textId="5EDA7F53"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55</w:t>
            </w:r>
          </w:p>
        </w:tc>
        <w:tc>
          <w:tcPr>
            <w:tcW w:w="483" w:type="pct"/>
            <w:noWrap/>
            <w:hideMark/>
          </w:tcPr>
          <w:p w14:paraId="7403E414" w14:textId="3E60DFC2"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47</w:t>
            </w:r>
          </w:p>
        </w:tc>
        <w:tc>
          <w:tcPr>
            <w:tcW w:w="482" w:type="pct"/>
            <w:noWrap/>
            <w:hideMark/>
          </w:tcPr>
          <w:p w14:paraId="5451D843" w14:textId="0F2269BA"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39</w:t>
            </w:r>
          </w:p>
        </w:tc>
        <w:tc>
          <w:tcPr>
            <w:tcW w:w="482" w:type="pct"/>
          </w:tcPr>
          <w:p w14:paraId="64D811FD" w14:textId="1EAEBB77"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33</w:t>
            </w:r>
          </w:p>
        </w:tc>
        <w:tc>
          <w:tcPr>
            <w:tcW w:w="483" w:type="pct"/>
          </w:tcPr>
          <w:p w14:paraId="29396E23" w14:textId="1C8F0B52"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29</w:t>
            </w:r>
          </w:p>
        </w:tc>
      </w:tr>
      <w:tr w:rsidR="002A3E13" w:rsidRPr="00967BC1" w14:paraId="5D358CEB" w14:textId="1B430351" w:rsidTr="00463BBF">
        <w:trPr>
          <w:trHeight w:val="300"/>
        </w:trPr>
        <w:tc>
          <w:tcPr>
            <w:tcW w:w="1624" w:type="pct"/>
            <w:noWrap/>
            <w:hideMark/>
          </w:tcPr>
          <w:p w14:paraId="235886F8" w14:textId="77777777" w:rsidR="002A3E13" w:rsidRPr="001E5A0C" w:rsidRDefault="002A3E13" w:rsidP="002A3E13">
            <w:pPr>
              <w:rPr>
                <w:rFonts w:asciiTheme="minorHAnsi" w:hAnsiTheme="minorHAnsi" w:cstheme="minorHAnsi"/>
                <w:sz w:val="24"/>
                <w:szCs w:val="24"/>
              </w:rPr>
            </w:pPr>
            <w:r w:rsidRPr="001E5A0C">
              <w:rPr>
                <w:rFonts w:asciiTheme="minorHAnsi" w:hAnsiTheme="minorHAnsi" w:cstheme="minorHAnsi"/>
                <w:sz w:val="24"/>
                <w:szCs w:val="24"/>
              </w:rPr>
              <w:t>Gross Domestic Product</w:t>
            </w:r>
          </w:p>
        </w:tc>
        <w:tc>
          <w:tcPr>
            <w:tcW w:w="482" w:type="pct"/>
            <w:noWrap/>
            <w:hideMark/>
          </w:tcPr>
          <w:p w14:paraId="163E93D1" w14:textId="67F62E0B"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$9.8 </w:t>
            </w:r>
          </w:p>
        </w:tc>
        <w:tc>
          <w:tcPr>
            <w:tcW w:w="482" w:type="pct"/>
            <w:noWrap/>
            <w:hideMark/>
          </w:tcPr>
          <w:p w14:paraId="79B9637B" w14:textId="494E9B9F"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$23.4 </w:t>
            </w:r>
          </w:p>
        </w:tc>
        <w:tc>
          <w:tcPr>
            <w:tcW w:w="482" w:type="pct"/>
            <w:noWrap/>
            <w:hideMark/>
          </w:tcPr>
          <w:p w14:paraId="582A6C7A" w14:textId="2379C692"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$3.8 </w:t>
            </w:r>
          </w:p>
        </w:tc>
        <w:tc>
          <w:tcPr>
            <w:tcW w:w="483" w:type="pct"/>
            <w:noWrap/>
            <w:hideMark/>
          </w:tcPr>
          <w:p w14:paraId="6E907BD4" w14:textId="16B1B9C3"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$3.6 </w:t>
            </w:r>
          </w:p>
        </w:tc>
        <w:tc>
          <w:tcPr>
            <w:tcW w:w="482" w:type="pct"/>
            <w:noWrap/>
            <w:hideMark/>
          </w:tcPr>
          <w:p w14:paraId="37EB695B" w14:textId="436090BB"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$3.0 </w:t>
            </w:r>
          </w:p>
        </w:tc>
        <w:tc>
          <w:tcPr>
            <w:tcW w:w="482" w:type="pct"/>
          </w:tcPr>
          <w:p w14:paraId="67B8DC2B" w14:textId="2CD0FE7F"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$2.6 </w:t>
            </w:r>
          </w:p>
        </w:tc>
        <w:tc>
          <w:tcPr>
            <w:tcW w:w="483" w:type="pct"/>
          </w:tcPr>
          <w:p w14:paraId="74E302A7" w14:textId="2E7FB6DB"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$2.5 </w:t>
            </w:r>
          </w:p>
        </w:tc>
      </w:tr>
      <w:tr w:rsidR="002A3E13" w:rsidRPr="00967BC1" w14:paraId="3C274CCE" w14:textId="43E9C4C4" w:rsidTr="00463BBF">
        <w:trPr>
          <w:trHeight w:val="300"/>
        </w:trPr>
        <w:tc>
          <w:tcPr>
            <w:tcW w:w="1624" w:type="pct"/>
            <w:noWrap/>
            <w:hideMark/>
          </w:tcPr>
          <w:p w14:paraId="6A6BEA6F" w14:textId="77777777" w:rsidR="002A3E13" w:rsidRPr="001E5A0C" w:rsidRDefault="002A3E13" w:rsidP="002A3E13">
            <w:pPr>
              <w:rPr>
                <w:rFonts w:asciiTheme="minorHAnsi" w:hAnsiTheme="minorHAnsi" w:cstheme="minorHAnsi"/>
                <w:sz w:val="24"/>
                <w:szCs w:val="24"/>
              </w:rPr>
            </w:pPr>
            <w:r w:rsidRPr="001E5A0C">
              <w:rPr>
                <w:rFonts w:asciiTheme="minorHAnsi" w:hAnsiTheme="minorHAnsi" w:cstheme="minorHAnsi"/>
                <w:sz w:val="24"/>
                <w:szCs w:val="24"/>
              </w:rPr>
              <w:t>Output</w:t>
            </w:r>
          </w:p>
        </w:tc>
        <w:tc>
          <w:tcPr>
            <w:tcW w:w="482" w:type="pct"/>
            <w:noWrap/>
            <w:hideMark/>
          </w:tcPr>
          <w:p w14:paraId="490DA713" w14:textId="56772E36"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$17.1 </w:t>
            </w:r>
          </w:p>
        </w:tc>
        <w:tc>
          <w:tcPr>
            <w:tcW w:w="482" w:type="pct"/>
            <w:noWrap/>
            <w:hideMark/>
          </w:tcPr>
          <w:p w14:paraId="2BCF5C52" w14:textId="402B83A0"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$41.0 </w:t>
            </w:r>
          </w:p>
        </w:tc>
        <w:tc>
          <w:tcPr>
            <w:tcW w:w="482" w:type="pct"/>
            <w:noWrap/>
            <w:hideMark/>
          </w:tcPr>
          <w:p w14:paraId="4D157627" w14:textId="2C0AAB52"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$7.1 </w:t>
            </w:r>
          </w:p>
        </w:tc>
        <w:tc>
          <w:tcPr>
            <w:tcW w:w="483" w:type="pct"/>
            <w:noWrap/>
            <w:hideMark/>
          </w:tcPr>
          <w:p w14:paraId="4B629121" w14:textId="35660B33"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$6.7 </w:t>
            </w:r>
          </w:p>
        </w:tc>
        <w:tc>
          <w:tcPr>
            <w:tcW w:w="482" w:type="pct"/>
            <w:noWrap/>
            <w:hideMark/>
          </w:tcPr>
          <w:p w14:paraId="1F668C76" w14:textId="732B2014"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$5.6 </w:t>
            </w:r>
          </w:p>
        </w:tc>
        <w:tc>
          <w:tcPr>
            <w:tcW w:w="482" w:type="pct"/>
          </w:tcPr>
          <w:p w14:paraId="608530FD" w14:textId="71562695"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$5.1 </w:t>
            </w:r>
          </w:p>
        </w:tc>
        <w:tc>
          <w:tcPr>
            <w:tcW w:w="483" w:type="pct"/>
          </w:tcPr>
          <w:p w14:paraId="7A2E7608" w14:textId="2410A01C"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$4.8 </w:t>
            </w:r>
          </w:p>
        </w:tc>
      </w:tr>
      <w:tr w:rsidR="002A3E13" w:rsidRPr="00967BC1" w14:paraId="4036D0C9" w14:textId="63730126" w:rsidTr="00463BBF">
        <w:trPr>
          <w:trHeight w:val="300"/>
        </w:trPr>
        <w:tc>
          <w:tcPr>
            <w:tcW w:w="1624" w:type="pct"/>
            <w:noWrap/>
            <w:hideMark/>
          </w:tcPr>
          <w:p w14:paraId="4ABA4EAE" w14:textId="77777777" w:rsidR="002A3E13" w:rsidRPr="001E5A0C" w:rsidRDefault="002A3E13" w:rsidP="002A3E13">
            <w:pPr>
              <w:rPr>
                <w:rFonts w:asciiTheme="minorHAnsi" w:hAnsiTheme="minorHAnsi" w:cstheme="minorHAnsi"/>
                <w:sz w:val="24"/>
                <w:szCs w:val="24"/>
              </w:rPr>
            </w:pPr>
            <w:r w:rsidRPr="001E5A0C">
              <w:rPr>
                <w:rFonts w:asciiTheme="minorHAnsi" w:hAnsiTheme="minorHAnsi" w:cstheme="minorHAnsi"/>
                <w:sz w:val="24"/>
                <w:szCs w:val="24"/>
              </w:rPr>
              <w:t>Value-Added</w:t>
            </w:r>
          </w:p>
        </w:tc>
        <w:tc>
          <w:tcPr>
            <w:tcW w:w="482" w:type="pct"/>
            <w:noWrap/>
            <w:hideMark/>
          </w:tcPr>
          <w:p w14:paraId="68694CDD" w14:textId="6E066E57"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$9.8 </w:t>
            </w:r>
          </w:p>
        </w:tc>
        <w:tc>
          <w:tcPr>
            <w:tcW w:w="482" w:type="pct"/>
            <w:noWrap/>
            <w:hideMark/>
          </w:tcPr>
          <w:p w14:paraId="2AB6AA74" w14:textId="01038A5F"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$23.4 </w:t>
            </w:r>
          </w:p>
        </w:tc>
        <w:tc>
          <w:tcPr>
            <w:tcW w:w="482" w:type="pct"/>
            <w:noWrap/>
            <w:hideMark/>
          </w:tcPr>
          <w:p w14:paraId="3CB5FAC2" w14:textId="53AE769B"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$3.8 </w:t>
            </w:r>
          </w:p>
        </w:tc>
        <w:tc>
          <w:tcPr>
            <w:tcW w:w="483" w:type="pct"/>
            <w:noWrap/>
            <w:hideMark/>
          </w:tcPr>
          <w:p w14:paraId="2C61BD6B" w14:textId="5F4F55AE"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$3.6 </w:t>
            </w:r>
          </w:p>
        </w:tc>
        <w:tc>
          <w:tcPr>
            <w:tcW w:w="482" w:type="pct"/>
            <w:noWrap/>
            <w:hideMark/>
          </w:tcPr>
          <w:p w14:paraId="3CAC7CA6" w14:textId="12B34BA8"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$3.0 </w:t>
            </w:r>
          </w:p>
        </w:tc>
        <w:tc>
          <w:tcPr>
            <w:tcW w:w="482" w:type="pct"/>
          </w:tcPr>
          <w:p w14:paraId="7646939D" w14:textId="17CC2C79"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$2.6 </w:t>
            </w:r>
          </w:p>
        </w:tc>
        <w:tc>
          <w:tcPr>
            <w:tcW w:w="483" w:type="pct"/>
          </w:tcPr>
          <w:p w14:paraId="4DFFEC8A" w14:textId="4BE28C97"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$2.5 </w:t>
            </w:r>
          </w:p>
        </w:tc>
      </w:tr>
      <w:tr w:rsidR="002A3E13" w:rsidRPr="00967BC1" w14:paraId="2E5E64EE" w14:textId="6E224CE3" w:rsidTr="00463BBF">
        <w:trPr>
          <w:trHeight w:val="300"/>
        </w:trPr>
        <w:tc>
          <w:tcPr>
            <w:tcW w:w="1624" w:type="pct"/>
            <w:noWrap/>
            <w:hideMark/>
          </w:tcPr>
          <w:p w14:paraId="11F478C1" w14:textId="77777777" w:rsidR="002A3E13" w:rsidRPr="001E5A0C" w:rsidRDefault="002A3E13" w:rsidP="002A3E13">
            <w:pPr>
              <w:rPr>
                <w:rFonts w:asciiTheme="minorHAnsi" w:hAnsiTheme="minorHAnsi" w:cstheme="minorHAnsi"/>
                <w:sz w:val="24"/>
                <w:szCs w:val="24"/>
              </w:rPr>
            </w:pPr>
            <w:r w:rsidRPr="001E5A0C">
              <w:rPr>
                <w:rFonts w:asciiTheme="minorHAnsi" w:hAnsiTheme="minorHAnsi" w:cstheme="minorHAnsi"/>
                <w:sz w:val="24"/>
                <w:szCs w:val="24"/>
              </w:rPr>
              <w:t>Personal Income</w:t>
            </w:r>
          </w:p>
        </w:tc>
        <w:tc>
          <w:tcPr>
            <w:tcW w:w="482" w:type="pct"/>
            <w:noWrap/>
            <w:hideMark/>
          </w:tcPr>
          <w:p w14:paraId="6AC92D66" w14:textId="06D13BE3"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$6.5 </w:t>
            </w:r>
          </w:p>
        </w:tc>
        <w:tc>
          <w:tcPr>
            <w:tcW w:w="482" w:type="pct"/>
            <w:noWrap/>
            <w:hideMark/>
          </w:tcPr>
          <w:p w14:paraId="42DF7F1E" w14:textId="445D23E0"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$16.3 </w:t>
            </w:r>
          </w:p>
        </w:tc>
        <w:tc>
          <w:tcPr>
            <w:tcW w:w="482" w:type="pct"/>
            <w:noWrap/>
            <w:hideMark/>
          </w:tcPr>
          <w:p w14:paraId="131C6C75" w14:textId="6B69AE0C"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$4.3 </w:t>
            </w:r>
          </w:p>
        </w:tc>
        <w:tc>
          <w:tcPr>
            <w:tcW w:w="483" w:type="pct"/>
            <w:noWrap/>
            <w:hideMark/>
          </w:tcPr>
          <w:p w14:paraId="44796DB7" w14:textId="4D2937DB"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$4.1 </w:t>
            </w:r>
          </w:p>
        </w:tc>
        <w:tc>
          <w:tcPr>
            <w:tcW w:w="482" w:type="pct"/>
            <w:noWrap/>
            <w:hideMark/>
          </w:tcPr>
          <w:p w14:paraId="0172DB94" w14:textId="4DAD8CFE"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$3.6 </w:t>
            </w:r>
          </w:p>
        </w:tc>
        <w:tc>
          <w:tcPr>
            <w:tcW w:w="482" w:type="pct"/>
          </w:tcPr>
          <w:p w14:paraId="0513D16A" w14:textId="1FFBD4E7"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$3.2 </w:t>
            </w:r>
          </w:p>
        </w:tc>
        <w:tc>
          <w:tcPr>
            <w:tcW w:w="483" w:type="pct"/>
          </w:tcPr>
          <w:p w14:paraId="34EC89BD" w14:textId="395E4986"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$3.1 </w:t>
            </w:r>
          </w:p>
        </w:tc>
      </w:tr>
      <w:tr w:rsidR="002A3E13" w:rsidRPr="00967BC1" w14:paraId="016E4B0B" w14:textId="716CF970" w:rsidTr="00463BBF">
        <w:trPr>
          <w:trHeight w:val="300"/>
        </w:trPr>
        <w:tc>
          <w:tcPr>
            <w:tcW w:w="1624" w:type="pct"/>
            <w:noWrap/>
            <w:hideMark/>
          </w:tcPr>
          <w:p w14:paraId="7652BFB9" w14:textId="77777777" w:rsidR="002A3E13" w:rsidRPr="001E5A0C" w:rsidRDefault="002A3E13" w:rsidP="002A3E13">
            <w:pPr>
              <w:rPr>
                <w:rFonts w:asciiTheme="minorHAnsi" w:hAnsiTheme="minorHAnsi" w:cstheme="minorHAnsi"/>
                <w:sz w:val="24"/>
                <w:szCs w:val="24"/>
              </w:rPr>
            </w:pPr>
            <w:r w:rsidRPr="001E5A0C">
              <w:rPr>
                <w:rFonts w:asciiTheme="minorHAnsi" w:hAnsiTheme="minorHAnsi" w:cstheme="minorHAnsi"/>
                <w:sz w:val="24"/>
                <w:szCs w:val="24"/>
              </w:rPr>
              <w:t>Disposable Personal Income</w:t>
            </w:r>
          </w:p>
        </w:tc>
        <w:tc>
          <w:tcPr>
            <w:tcW w:w="482" w:type="pct"/>
            <w:noWrap/>
            <w:hideMark/>
          </w:tcPr>
          <w:p w14:paraId="5F920990" w14:textId="74E2034F"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$5.5 </w:t>
            </w:r>
          </w:p>
        </w:tc>
        <w:tc>
          <w:tcPr>
            <w:tcW w:w="482" w:type="pct"/>
            <w:noWrap/>
            <w:hideMark/>
          </w:tcPr>
          <w:p w14:paraId="0085CA62" w14:textId="7EDBA8BC"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$14.0 </w:t>
            </w:r>
          </w:p>
        </w:tc>
        <w:tc>
          <w:tcPr>
            <w:tcW w:w="482" w:type="pct"/>
            <w:noWrap/>
            <w:hideMark/>
          </w:tcPr>
          <w:p w14:paraId="27B1C8C0" w14:textId="320510DE"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$3.8 </w:t>
            </w:r>
          </w:p>
        </w:tc>
        <w:tc>
          <w:tcPr>
            <w:tcW w:w="483" w:type="pct"/>
            <w:noWrap/>
            <w:hideMark/>
          </w:tcPr>
          <w:p w14:paraId="6A6F3B99" w14:textId="44CDB237"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$3.6 </w:t>
            </w:r>
          </w:p>
        </w:tc>
        <w:tc>
          <w:tcPr>
            <w:tcW w:w="482" w:type="pct"/>
            <w:noWrap/>
            <w:hideMark/>
          </w:tcPr>
          <w:p w14:paraId="484E5DB9" w14:textId="409DE451"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$3.1 </w:t>
            </w:r>
          </w:p>
        </w:tc>
        <w:tc>
          <w:tcPr>
            <w:tcW w:w="482" w:type="pct"/>
          </w:tcPr>
          <w:p w14:paraId="416919E1" w14:textId="1429F6AD"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$2.8 </w:t>
            </w:r>
          </w:p>
        </w:tc>
        <w:tc>
          <w:tcPr>
            <w:tcW w:w="483" w:type="pct"/>
          </w:tcPr>
          <w:p w14:paraId="7CAA3F76" w14:textId="102648A9"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$2.7 </w:t>
            </w:r>
          </w:p>
        </w:tc>
      </w:tr>
      <w:tr w:rsidR="002A3E13" w:rsidRPr="00967BC1" w14:paraId="6643879D" w14:textId="2A5182C9" w:rsidTr="00463BBF">
        <w:trPr>
          <w:trHeight w:val="300"/>
        </w:trPr>
        <w:tc>
          <w:tcPr>
            <w:tcW w:w="1624" w:type="pct"/>
            <w:noWrap/>
            <w:hideMark/>
          </w:tcPr>
          <w:p w14:paraId="7F418762" w14:textId="77777777" w:rsidR="002A3E13" w:rsidRPr="001E5A0C" w:rsidRDefault="002A3E13" w:rsidP="002A3E13">
            <w:pPr>
              <w:rPr>
                <w:rFonts w:asciiTheme="minorHAnsi" w:hAnsiTheme="minorHAnsi" w:cstheme="minorHAnsi"/>
                <w:sz w:val="24"/>
                <w:szCs w:val="24"/>
              </w:rPr>
            </w:pPr>
            <w:r w:rsidRPr="001E5A0C">
              <w:rPr>
                <w:rFonts w:asciiTheme="minorHAnsi" w:hAnsiTheme="minorHAnsi" w:cstheme="minorHAnsi"/>
                <w:sz w:val="24"/>
                <w:szCs w:val="24"/>
              </w:rPr>
              <w:t>Real Disposable Personal Income</w:t>
            </w:r>
          </w:p>
        </w:tc>
        <w:tc>
          <w:tcPr>
            <w:tcW w:w="482" w:type="pct"/>
            <w:noWrap/>
            <w:hideMark/>
          </w:tcPr>
          <w:p w14:paraId="0FF3C91F" w14:textId="46AB8C16"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$4.8 </w:t>
            </w:r>
          </w:p>
        </w:tc>
        <w:tc>
          <w:tcPr>
            <w:tcW w:w="482" w:type="pct"/>
            <w:noWrap/>
            <w:hideMark/>
          </w:tcPr>
          <w:p w14:paraId="16775559" w14:textId="6F83584B"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$11.1 </w:t>
            </w:r>
          </w:p>
        </w:tc>
        <w:tc>
          <w:tcPr>
            <w:tcW w:w="482" w:type="pct"/>
            <w:noWrap/>
            <w:hideMark/>
          </w:tcPr>
          <w:p w14:paraId="7B11FBD0" w14:textId="39CA71D5"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$1.2 </w:t>
            </w:r>
          </w:p>
        </w:tc>
        <w:tc>
          <w:tcPr>
            <w:tcW w:w="483" w:type="pct"/>
            <w:noWrap/>
            <w:hideMark/>
          </w:tcPr>
          <w:p w14:paraId="7BF65B83" w14:textId="442D1D8F"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$2.4 </w:t>
            </w:r>
          </w:p>
        </w:tc>
        <w:tc>
          <w:tcPr>
            <w:tcW w:w="482" w:type="pct"/>
            <w:noWrap/>
            <w:hideMark/>
          </w:tcPr>
          <w:p w14:paraId="3521A1A8" w14:textId="05B00A8D"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$2.0 </w:t>
            </w:r>
          </w:p>
        </w:tc>
        <w:tc>
          <w:tcPr>
            <w:tcW w:w="482" w:type="pct"/>
          </w:tcPr>
          <w:p w14:paraId="00115BFC" w14:textId="5FDFAA12"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$1.8 </w:t>
            </w:r>
          </w:p>
        </w:tc>
        <w:tc>
          <w:tcPr>
            <w:tcW w:w="483" w:type="pct"/>
          </w:tcPr>
          <w:p w14:paraId="141328AC" w14:textId="7C4B8989" w:rsidR="002A3E13" w:rsidRPr="001E5A0C" w:rsidRDefault="002A3E13" w:rsidP="002A3E13">
            <w:pPr>
              <w:jc w:val="center"/>
              <w:rPr>
                <w:rFonts w:asciiTheme="minorHAnsi" w:hAnsiTheme="minorHAnsi" w:cstheme="minorHAnsi"/>
                <w:sz w:val="24"/>
                <w:szCs w:val="24"/>
              </w:rPr>
            </w:pPr>
            <w:r w:rsidRPr="001E5A0C">
              <w:rPr>
                <w:rFonts w:asciiTheme="minorHAnsi" w:hAnsiTheme="minorHAnsi" w:cstheme="minorHAnsi"/>
                <w:sz w:val="24"/>
                <w:szCs w:val="24"/>
              </w:rPr>
              <w:t xml:space="preserve"> $1.8 </w:t>
            </w:r>
          </w:p>
        </w:tc>
      </w:tr>
      <w:tr w:rsidR="00FC0325" w:rsidRPr="00967BC1" w14:paraId="0E10FF08" w14:textId="77777777" w:rsidTr="00FC0325">
        <w:trPr>
          <w:trHeight w:val="300"/>
        </w:trPr>
        <w:tc>
          <w:tcPr>
            <w:tcW w:w="1624" w:type="pct"/>
            <w:noWrap/>
          </w:tcPr>
          <w:p w14:paraId="6B23771B" w14:textId="77777777" w:rsidR="00FC0325" w:rsidRPr="001E5A0C" w:rsidRDefault="00FC0325" w:rsidP="00463BBF">
            <w:pPr>
              <w:rPr>
                <w:rFonts w:asciiTheme="minorHAnsi" w:hAnsiTheme="minorHAnsi" w:cstheme="minorHAnsi"/>
                <w:sz w:val="24"/>
                <w:szCs w:val="24"/>
              </w:rPr>
            </w:pPr>
          </w:p>
        </w:tc>
        <w:tc>
          <w:tcPr>
            <w:tcW w:w="482" w:type="pct"/>
            <w:noWrap/>
            <w:vAlign w:val="bottom"/>
          </w:tcPr>
          <w:p w14:paraId="4A9D2A8A" w14:textId="77777777" w:rsidR="00FC0325" w:rsidRPr="001E5A0C" w:rsidRDefault="00FC0325" w:rsidP="00463BBF">
            <w:pPr>
              <w:jc w:val="center"/>
              <w:rPr>
                <w:rFonts w:asciiTheme="minorHAnsi" w:hAnsiTheme="minorHAnsi" w:cstheme="minorHAnsi"/>
                <w:sz w:val="24"/>
                <w:szCs w:val="24"/>
              </w:rPr>
            </w:pPr>
          </w:p>
        </w:tc>
        <w:tc>
          <w:tcPr>
            <w:tcW w:w="482" w:type="pct"/>
            <w:noWrap/>
            <w:vAlign w:val="bottom"/>
          </w:tcPr>
          <w:p w14:paraId="0A75C0FC" w14:textId="77777777" w:rsidR="00FC0325" w:rsidRPr="001E5A0C" w:rsidRDefault="00FC0325" w:rsidP="00463BBF">
            <w:pPr>
              <w:jc w:val="center"/>
              <w:rPr>
                <w:rFonts w:asciiTheme="minorHAnsi" w:hAnsiTheme="minorHAnsi" w:cstheme="minorHAnsi"/>
                <w:sz w:val="24"/>
                <w:szCs w:val="24"/>
              </w:rPr>
            </w:pPr>
          </w:p>
        </w:tc>
        <w:tc>
          <w:tcPr>
            <w:tcW w:w="482" w:type="pct"/>
            <w:noWrap/>
            <w:vAlign w:val="bottom"/>
          </w:tcPr>
          <w:p w14:paraId="627936A5" w14:textId="77777777" w:rsidR="00FC0325" w:rsidRPr="001E5A0C" w:rsidRDefault="00FC0325" w:rsidP="00463BBF">
            <w:pPr>
              <w:jc w:val="center"/>
              <w:rPr>
                <w:rFonts w:asciiTheme="minorHAnsi" w:hAnsiTheme="minorHAnsi" w:cstheme="minorHAnsi"/>
                <w:sz w:val="24"/>
                <w:szCs w:val="24"/>
              </w:rPr>
            </w:pPr>
          </w:p>
        </w:tc>
        <w:tc>
          <w:tcPr>
            <w:tcW w:w="483" w:type="pct"/>
            <w:noWrap/>
            <w:vAlign w:val="bottom"/>
          </w:tcPr>
          <w:p w14:paraId="5F32537F" w14:textId="77777777" w:rsidR="00FC0325" w:rsidRPr="001E5A0C" w:rsidRDefault="00FC0325" w:rsidP="00463BBF">
            <w:pPr>
              <w:jc w:val="center"/>
              <w:rPr>
                <w:rFonts w:asciiTheme="minorHAnsi" w:hAnsiTheme="minorHAnsi" w:cstheme="minorHAnsi"/>
                <w:sz w:val="24"/>
                <w:szCs w:val="24"/>
              </w:rPr>
            </w:pPr>
          </w:p>
        </w:tc>
        <w:tc>
          <w:tcPr>
            <w:tcW w:w="482" w:type="pct"/>
            <w:noWrap/>
            <w:vAlign w:val="bottom"/>
          </w:tcPr>
          <w:p w14:paraId="28BA1D22" w14:textId="77777777" w:rsidR="00FC0325" w:rsidRPr="001E5A0C" w:rsidRDefault="00FC0325" w:rsidP="00463BBF">
            <w:pPr>
              <w:jc w:val="center"/>
              <w:rPr>
                <w:rFonts w:asciiTheme="minorHAnsi" w:hAnsiTheme="minorHAnsi" w:cstheme="minorHAnsi"/>
                <w:sz w:val="24"/>
                <w:szCs w:val="24"/>
              </w:rPr>
            </w:pPr>
          </w:p>
        </w:tc>
        <w:tc>
          <w:tcPr>
            <w:tcW w:w="482" w:type="pct"/>
          </w:tcPr>
          <w:p w14:paraId="06FC6DB5" w14:textId="77777777" w:rsidR="00FC0325" w:rsidRPr="001E5A0C" w:rsidRDefault="00FC0325" w:rsidP="00463BBF">
            <w:pPr>
              <w:jc w:val="center"/>
              <w:rPr>
                <w:rFonts w:asciiTheme="minorHAnsi" w:hAnsiTheme="minorHAnsi" w:cstheme="minorHAnsi"/>
                <w:sz w:val="24"/>
                <w:szCs w:val="24"/>
              </w:rPr>
            </w:pPr>
          </w:p>
        </w:tc>
        <w:tc>
          <w:tcPr>
            <w:tcW w:w="483" w:type="pct"/>
          </w:tcPr>
          <w:p w14:paraId="1D096FC1" w14:textId="77777777" w:rsidR="00FC0325" w:rsidRPr="001E5A0C" w:rsidRDefault="00FC0325" w:rsidP="00463BBF">
            <w:pPr>
              <w:jc w:val="center"/>
              <w:rPr>
                <w:rFonts w:asciiTheme="minorHAnsi" w:hAnsiTheme="minorHAnsi" w:cstheme="minorHAnsi"/>
                <w:sz w:val="24"/>
                <w:szCs w:val="24"/>
              </w:rPr>
            </w:pPr>
          </w:p>
        </w:tc>
      </w:tr>
      <w:tr w:rsidR="00FC0325" w:rsidRPr="00967BC1" w14:paraId="6964B029" w14:textId="77777777" w:rsidTr="00FC0325">
        <w:trPr>
          <w:trHeight w:val="300"/>
        </w:trPr>
        <w:tc>
          <w:tcPr>
            <w:tcW w:w="1624" w:type="pct"/>
            <w:noWrap/>
          </w:tcPr>
          <w:p w14:paraId="3A10F0F6" w14:textId="01B8CD70" w:rsidR="00FC0325" w:rsidRPr="001E5A0C" w:rsidRDefault="00FC0325" w:rsidP="00463BBF">
            <w:pPr>
              <w:rPr>
                <w:rFonts w:asciiTheme="minorHAnsi" w:hAnsiTheme="minorHAnsi" w:cstheme="minorHAnsi"/>
                <w:sz w:val="24"/>
                <w:szCs w:val="24"/>
              </w:rPr>
            </w:pPr>
            <w:r w:rsidRPr="001E5A0C">
              <w:rPr>
                <w:rFonts w:asciiTheme="minorHAnsi" w:hAnsiTheme="minorHAnsi" w:cstheme="minorHAnsi"/>
                <w:sz w:val="24"/>
                <w:szCs w:val="24"/>
              </w:rPr>
              <w:t xml:space="preserve">Investment </w:t>
            </w:r>
            <w:r w:rsidR="00463BBF" w:rsidRPr="001E5A0C">
              <w:rPr>
                <w:rFonts w:asciiTheme="minorHAnsi" w:hAnsiTheme="minorHAnsi" w:cstheme="minorHAnsi"/>
                <w:sz w:val="24"/>
                <w:szCs w:val="24"/>
              </w:rPr>
              <w:t>Spending</w:t>
            </w:r>
          </w:p>
        </w:tc>
        <w:tc>
          <w:tcPr>
            <w:tcW w:w="482" w:type="pct"/>
            <w:noWrap/>
            <w:vAlign w:val="bottom"/>
          </w:tcPr>
          <w:p w14:paraId="36F8E928" w14:textId="519BCDE6" w:rsidR="00FC0325" w:rsidRPr="001E5A0C" w:rsidRDefault="00FC0325" w:rsidP="00463BBF">
            <w:pPr>
              <w:jc w:val="center"/>
              <w:rPr>
                <w:rFonts w:asciiTheme="minorHAnsi" w:hAnsiTheme="minorHAnsi" w:cstheme="minorHAnsi"/>
                <w:sz w:val="24"/>
                <w:szCs w:val="24"/>
              </w:rPr>
            </w:pPr>
            <w:r w:rsidRPr="001E5A0C">
              <w:rPr>
                <w:rFonts w:asciiTheme="minorHAnsi" w:hAnsiTheme="minorHAnsi" w:cstheme="minorHAnsi"/>
                <w:sz w:val="24"/>
                <w:szCs w:val="24"/>
              </w:rPr>
              <w:t>$40 mil</w:t>
            </w:r>
          </w:p>
        </w:tc>
        <w:tc>
          <w:tcPr>
            <w:tcW w:w="482" w:type="pct"/>
            <w:noWrap/>
            <w:vAlign w:val="bottom"/>
          </w:tcPr>
          <w:p w14:paraId="06156A91" w14:textId="2A37E7F5" w:rsidR="00FC0325" w:rsidRPr="001E5A0C" w:rsidRDefault="00FC0325" w:rsidP="00463BBF">
            <w:pPr>
              <w:jc w:val="center"/>
              <w:rPr>
                <w:rFonts w:asciiTheme="minorHAnsi" w:hAnsiTheme="minorHAnsi" w:cstheme="minorHAnsi"/>
                <w:sz w:val="24"/>
                <w:szCs w:val="24"/>
              </w:rPr>
            </w:pPr>
            <w:r w:rsidRPr="001E5A0C">
              <w:rPr>
                <w:rFonts w:asciiTheme="minorHAnsi" w:hAnsiTheme="minorHAnsi" w:cstheme="minorHAnsi"/>
                <w:sz w:val="24"/>
                <w:szCs w:val="24"/>
              </w:rPr>
              <w:t>$90 mil</w:t>
            </w:r>
          </w:p>
        </w:tc>
        <w:tc>
          <w:tcPr>
            <w:tcW w:w="482" w:type="pct"/>
            <w:noWrap/>
            <w:vAlign w:val="bottom"/>
          </w:tcPr>
          <w:p w14:paraId="7EA5F7A4" w14:textId="3D51DF14" w:rsidR="00FC0325" w:rsidRPr="001E5A0C" w:rsidRDefault="00273006" w:rsidP="00463BBF">
            <w:pPr>
              <w:jc w:val="center"/>
              <w:rPr>
                <w:rFonts w:asciiTheme="minorHAnsi" w:hAnsiTheme="minorHAnsi" w:cstheme="minorHAnsi"/>
                <w:sz w:val="24"/>
                <w:szCs w:val="24"/>
              </w:rPr>
            </w:pPr>
            <w:r w:rsidRPr="001E5A0C">
              <w:rPr>
                <w:rFonts w:asciiTheme="minorHAnsi" w:hAnsiTheme="minorHAnsi" w:cstheme="minorHAnsi"/>
                <w:sz w:val="24"/>
                <w:szCs w:val="24"/>
              </w:rPr>
              <w:t>$</w:t>
            </w:r>
            <w:r w:rsidR="00FC0325" w:rsidRPr="001E5A0C">
              <w:rPr>
                <w:rFonts w:asciiTheme="minorHAnsi" w:hAnsiTheme="minorHAnsi" w:cstheme="minorHAnsi"/>
                <w:sz w:val="24"/>
                <w:szCs w:val="24"/>
              </w:rPr>
              <w:t>0</w:t>
            </w:r>
          </w:p>
        </w:tc>
        <w:tc>
          <w:tcPr>
            <w:tcW w:w="483" w:type="pct"/>
            <w:noWrap/>
            <w:vAlign w:val="bottom"/>
          </w:tcPr>
          <w:p w14:paraId="401A4CE8" w14:textId="08E7C40E" w:rsidR="00FC0325" w:rsidRPr="001E5A0C" w:rsidRDefault="00273006" w:rsidP="00463BBF">
            <w:pPr>
              <w:jc w:val="center"/>
              <w:rPr>
                <w:rFonts w:asciiTheme="minorHAnsi" w:hAnsiTheme="minorHAnsi" w:cstheme="minorHAnsi"/>
                <w:sz w:val="24"/>
                <w:szCs w:val="24"/>
              </w:rPr>
            </w:pPr>
            <w:r w:rsidRPr="001E5A0C">
              <w:rPr>
                <w:rFonts w:asciiTheme="minorHAnsi" w:hAnsiTheme="minorHAnsi" w:cstheme="minorHAnsi"/>
                <w:sz w:val="24"/>
                <w:szCs w:val="24"/>
              </w:rPr>
              <w:t>$</w:t>
            </w:r>
            <w:r w:rsidR="00FC0325" w:rsidRPr="001E5A0C">
              <w:rPr>
                <w:rFonts w:asciiTheme="minorHAnsi" w:hAnsiTheme="minorHAnsi" w:cstheme="minorHAnsi"/>
                <w:sz w:val="24"/>
                <w:szCs w:val="24"/>
              </w:rPr>
              <w:t>0</w:t>
            </w:r>
          </w:p>
        </w:tc>
        <w:tc>
          <w:tcPr>
            <w:tcW w:w="482" w:type="pct"/>
            <w:noWrap/>
            <w:vAlign w:val="bottom"/>
          </w:tcPr>
          <w:p w14:paraId="4C0543B6" w14:textId="3E5912FF" w:rsidR="00FC0325" w:rsidRPr="001E5A0C" w:rsidRDefault="00273006" w:rsidP="00463BBF">
            <w:pPr>
              <w:jc w:val="center"/>
              <w:rPr>
                <w:rFonts w:asciiTheme="minorHAnsi" w:hAnsiTheme="minorHAnsi" w:cstheme="minorHAnsi"/>
                <w:sz w:val="24"/>
                <w:szCs w:val="24"/>
              </w:rPr>
            </w:pPr>
            <w:r w:rsidRPr="001E5A0C">
              <w:rPr>
                <w:rFonts w:asciiTheme="minorHAnsi" w:hAnsiTheme="minorHAnsi" w:cstheme="minorHAnsi"/>
                <w:sz w:val="24"/>
                <w:szCs w:val="24"/>
              </w:rPr>
              <w:t>$</w:t>
            </w:r>
            <w:r w:rsidR="00FC0325" w:rsidRPr="001E5A0C">
              <w:rPr>
                <w:rFonts w:asciiTheme="minorHAnsi" w:hAnsiTheme="minorHAnsi" w:cstheme="minorHAnsi"/>
                <w:sz w:val="24"/>
                <w:szCs w:val="24"/>
              </w:rPr>
              <w:t>0</w:t>
            </w:r>
          </w:p>
        </w:tc>
        <w:tc>
          <w:tcPr>
            <w:tcW w:w="482" w:type="pct"/>
          </w:tcPr>
          <w:p w14:paraId="01037862" w14:textId="7A3A862B" w:rsidR="00FC0325" w:rsidRPr="001E5A0C" w:rsidRDefault="00273006" w:rsidP="00463BBF">
            <w:pPr>
              <w:jc w:val="center"/>
              <w:rPr>
                <w:rFonts w:asciiTheme="minorHAnsi" w:hAnsiTheme="minorHAnsi" w:cstheme="minorHAnsi"/>
                <w:sz w:val="24"/>
                <w:szCs w:val="24"/>
              </w:rPr>
            </w:pPr>
            <w:r w:rsidRPr="001E5A0C">
              <w:rPr>
                <w:rFonts w:asciiTheme="minorHAnsi" w:hAnsiTheme="minorHAnsi" w:cstheme="minorHAnsi"/>
                <w:sz w:val="24"/>
                <w:szCs w:val="24"/>
              </w:rPr>
              <w:t>$</w:t>
            </w:r>
            <w:r w:rsidR="00FC0325" w:rsidRPr="001E5A0C">
              <w:rPr>
                <w:rFonts w:asciiTheme="minorHAnsi" w:hAnsiTheme="minorHAnsi" w:cstheme="minorHAnsi"/>
                <w:sz w:val="24"/>
                <w:szCs w:val="24"/>
              </w:rPr>
              <w:t>0</w:t>
            </w:r>
          </w:p>
        </w:tc>
        <w:tc>
          <w:tcPr>
            <w:tcW w:w="483" w:type="pct"/>
          </w:tcPr>
          <w:p w14:paraId="7D2E0437" w14:textId="323A0F0A" w:rsidR="00FC0325" w:rsidRPr="001E5A0C" w:rsidRDefault="00273006" w:rsidP="00463BBF">
            <w:pPr>
              <w:jc w:val="center"/>
              <w:rPr>
                <w:rFonts w:asciiTheme="minorHAnsi" w:hAnsiTheme="minorHAnsi" w:cstheme="minorHAnsi"/>
                <w:sz w:val="24"/>
                <w:szCs w:val="24"/>
              </w:rPr>
            </w:pPr>
            <w:r w:rsidRPr="001E5A0C">
              <w:rPr>
                <w:rFonts w:asciiTheme="minorHAnsi" w:hAnsiTheme="minorHAnsi" w:cstheme="minorHAnsi"/>
                <w:sz w:val="24"/>
                <w:szCs w:val="24"/>
              </w:rPr>
              <w:t>$</w:t>
            </w:r>
            <w:r w:rsidR="00FC0325" w:rsidRPr="001E5A0C">
              <w:rPr>
                <w:rFonts w:asciiTheme="minorHAnsi" w:hAnsiTheme="minorHAnsi" w:cstheme="minorHAnsi"/>
                <w:sz w:val="24"/>
                <w:szCs w:val="24"/>
              </w:rPr>
              <w:t>0</w:t>
            </w:r>
          </w:p>
        </w:tc>
      </w:tr>
      <w:tr w:rsidR="00FC0325" w:rsidRPr="00967BC1" w14:paraId="08D2F676" w14:textId="77777777" w:rsidTr="00FC0325">
        <w:trPr>
          <w:trHeight w:val="300"/>
        </w:trPr>
        <w:tc>
          <w:tcPr>
            <w:tcW w:w="1624" w:type="pct"/>
            <w:noWrap/>
          </w:tcPr>
          <w:p w14:paraId="41222C7F" w14:textId="4F2995F8" w:rsidR="00FC0325" w:rsidRPr="001E5A0C" w:rsidRDefault="00FC0325" w:rsidP="00463BBF">
            <w:pPr>
              <w:rPr>
                <w:rFonts w:asciiTheme="minorHAnsi" w:hAnsiTheme="minorHAnsi" w:cstheme="minorHAnsi"/>
                <w:sz w:val="24"/>
                <w:szCs w:val="24"/>
              </w:rPr>
            </w:pPr>
            <w:r w:rsidRPr="001E5A0C">
              <w:rPr>
                <w:rFonts w:asciiTheme="minorHAnsi" w:hAnsiTheme="minorHAnsi" w:cstheme="minorHAnsi"/>
                <w:sz w:val="24"/>
                <w:szCs w:val="24"/>
              </w:rPr>
              <w:t>Operating Expenditures</w:t>
            </w:r>
          </w:p>
        </w:tc>
        <w:tc>
          <w:tcPr>
            <w:tcW w:w="482" w:type="pct"/>
            <w:noWrap/>
            <w:vAlign w:val="bottom"/>
          </w:tcPr>
          <w:p w14:paraId="5711EA1D" w14:textId="73A5552E" w:rsidR="00FC0325" w:rsidRPr="001E5A0C" w:rsidRDefault="00FC0325" w:rsidP="00463BBF">
            <w:pPr>
              <w:jc w:val="center"/>
              <w:rPr>
                <w:rFonts w:asciiTheme="minorHAnsi" w:hAnsiTheme="minorHAnsi" w:cstheme="minorHAnsi"/>
                <w:sz w:val="24"/>
                <w:szCs w:val="24"/>
              </w:rPr>
            </w:pPr>
            <w:r w:rsidRPr="001E5A0C">
              <w:rPr>
                <w:rFonts w:asciiTheme="minorHAnsi" w:hAnsiTheme="minorHAnsi" w:cstheme="minorHAnsi"/>
                <w:sz w:val="24"/>
                <w:szCs w:val="24"/>
              </w:rPr>
              <w:t>$</w:t>
            </w:r>
            <w:r w:rsidR="002A3E13" w:rsidRPr="001E5A0C">
              <w:rPr>
                <w:rFonts w:asciiTheme="minorHAnsi" w:hAnsiTheme="minorHAnsi" w:cstheme="minorHAnsi"/>
                <w:sz w:val="24"/>
                <w:szCs w:val="24"/>
              </w:rPr>
              <w:t>1.2 mil</w:t>
            </w:r>
          </w:p>
        </w:tc>
        <w:tc>
          <w:tcPr>
            <w:tcW w:w="482" w:type="pct"/>
            <w:noWrap/>
            <w:vAlign w:val="bottom"/>
          </w:tcPr>
          <w:p w14:paraId="654F3C8A" w14:textId="4F0D1322" w:rsidR="00FC0325" w:rsidRPr="001E5A0C" w:rsidRDefault="002A3E13" w:rsidP="00463BBF">
            <w:pPr>
              <w:jc w:val="center"/>
              <w:rPr>
                <w:rFonts w:asciiTheme="minorHAnsi" w:hAnsiTheme="minorHAnsi" w:cstheme="minorHAnsi"/>
                <w:sz w:val="24"/>
                <w:szCs w:val="24"/>
              </w:rPr>
            </w:pPr>
            <w:r w:rsidRPr="001E5A0C">
              <w:rPr>
                <w:rFonts w:asciiTheme="minorHAnsi" w:hAnsiTheme="minorHAnsi" w:cstheme="minorHAnsi"/>
                <w:sz w:val="24"/>
                <w:szCs w:val="24"/>
              </w:rPr>
              <w:t>$4.0 mil</w:t>
            </w:r>
          </w:p>
        </w:tc>
        <w:tc>
          <w:tcPr>
            <w:tcW w:w="482" w:type="pct"/>
            <w:noWrap/>
            <w:vAlign w:val="bottom"/>
          </w:tcPr>
          <w:p w14:paraId="2BD26A74" w14:textId="0B9C3C5F" w:rsidR="00FC0325" w:rsidRPr="001E5A0C" w:rsidRDefault="002A3E13" w:rsidP="00463BBF">
            <w:pPr>
              <w:jc w:val="center"/>
              <w:rPr>
                <w:rFonts w:asciiTheme="minorHAnsi" w:hAnsiTheme="minorHAnsi" w:cstheme="minorHAnsi"/>
                <w:sz w:val="24"/>
                <w:szCs w:val="24"/>
              </w:rPr>
            </w:pPr>
            <w:r w:rsidRPr="001E5A0C">
              <w:rPr>
                <w:rFonts w:asciiTheme="minorHAnsi" w:hAnsiTheme="minorHAnsi" w:cstheme="minorHAnsi"/>
                <w:sz w:val="24"/>
                <w:szCs w:val="24"/>
              </w:rPr>
              <w:t>$4.1 mil</w:t>
            </w:r>
          </w:p>
        </w:tc>
        <w:tc>
          <w:tcPr>
            <w:tcW w:w="483" w:type="pct"/>
            <w:noWrap/>
            <w:vAlign w:val="bottom"/>
          </w:tcPr>
          <w:p w14:paraId="424AA255" w14:textId="1AA073D2" w:rsidR="00FC0325" w:rsidRPr="001E5A0C" w:rsidRDefault="002A3E13" w:rsidP="00463BBF">
            <w:pPr>
              <w:jc w:val="center"/>
              <w:rPr>
                <w:rFonts w:asciiTheme="minorHAnsi" w:hAnsiTheme="minorHAnsi" w:cstheme="minorHAnsi"/>
                <w:sz w:val="24"/>
                <w:szCs w:val="24"/>
              </w:rPr>
            </w:pPr>
            <w:r w:rsidRPr="001E5A0C">
              <w:rPr>
                <w:rFonts w:asciiTheme="minorHAnsi" w:hAnsiTheme="minorHAnsi" w:cstheme="minorHAnsi"/>
                <w:sz w:val="24"/>
                <w:szCs w:val="24"/>
              </w:rPr>
              <w:t>$4.2 mil</w:t>
            </w:r>
          </w:p>
        </w:tc>
        <w:tc>
          <w:tcPr>
            <w:tcW w:w="482" w:type="pct"/>
            <w:noWrap/>
            <w:vAlign w:val="bottom"/>
          </w:tcPr>
          <w:p w14:paraId="44426794" w14:textId="3448B5D0" w:rsidR="00FC0325" w:rsidRPr="001E5A0C" w:rsidRDefault="002A3E13" w:rsidP="00463BBF">
            <w:pPr>
              <w:jc w:val="center"/>
              <w:rPr>
                <w:rFonts w:asciiTheme="minorHAnsi" w:hAnsiTheme="minorHAnsi" w:cstheme="minorHAnsi"/>
                <w:sz w:val="24"/>
                <w:szCs w:val="24"/>
              </w:rPr>
            </w:pPr>
            <w:r w:rsidRPr="001E5A0C">
              <w:rPr>
                <w:rFonts w:asciiTheme="minorHAnsi" w:hAnsiTheme="minorHAnsi" w:cstheme="minorHAnsi"/>
                <w:sz w:val="24"/>
                <w:szCs w:val="24"/>
              </w:rPr>
              <w:t>$4.3 mil</w:t>
            </w:r>
          </w:p>
        </w:tc>
        <w:tc>
          <w:tcPr>
            <w:tcW w:w="482" w:type="pct"/>
          </w:tcPr>
          <w:p w14:paraId="428C644B" w14:textId="35BC4CFC" w:rsidR="00FC0325" w:rsidRPr="001E5A0C" w:rsidRDefault="002A3E13" w:rsidP="00463BBF">
            <w:pPr>
              <w:jc w:val="center"/>
              <w:rPr>
                <w:rFonts w:asciiTheme="minorHAnsi" w:hAnsiTheme="minorHAnsi" w:cstheme="minorHAnsi"/>
                <w:sz w:val="24"/>
                <w:szCs w:val="24"/>
              </w:rPr>
            </w:pPr>
            <w:r w:rsidRPr="001E5A0C">
              <w:rPr>
                <w:rFonts w:asciiTheme="minorHAnsi" w:hAnsiTheme="minorHAnsi" w:cstheme="minorHAnsi"/>
                <w:sz w:val="24"/>
                <w:szCs w:val="24"/>
              </w:rPr>
              <w:t>$4.4 mil</w:t>
            </w:r>
          </w:p>
        </w:tc>
        <w:tc>
          <w:tcPr>
            <w:tcW w:w="483" w:type="pct"/>
          </w:tcPr>
          <w:p w14:paraId="1EF06EAF" w14:textId="17C4F488" w:rsidR="00FC0325" w:rsidRPr="001E5A0C" w:rsidRDefault="002A3E13" w:rsidP="00463BBF">
            <w:pPr>
              <w:jc w:val="center"/>
              <w:rPr>
                <w:rFonts w:asciiTheme="minorHAnsi" w:hAnsiTheme="minorHAnsi" w:cstheme="minorHAnsi"/>
                <w:sz w:val="24"/>
                <w:szCs w:val="24"/>
              </w:rPr>
            </w:pPr>
            <w:r w:rsidRPr="001E5A0C">
              <w:rPr>
                <w:rFonts w:asciiTheme="minorHAnsi" w:hAnsiTheme="minorHAnsi" w:cstheme="minorHAnsi"/>
                <w:sz w:val="24"/>
                <w:szCs w:val="24"/>
              </w:rPr>
              <w:t>$4.5 mil</w:t>
            </w:r>
          </w:p>
        </w:tc>
      </w:tr>
    </w:tbl>
    <w:p w14:paraId="47B68D38" w14:textId="5FAE2D7D" w:rsidR="00B52ED6" w:rsidRDefault="00B52ED6" w:rsidP="00B52ED6">
      <w:pPr>
        <w:jc w:val="both"/>
        <w:rPr>
          <w:rFonts w:cstheme="minorHAnsi"/>
          <w:sz w:val="24"/>
          <w:szCs w:val="24"/>
        </w:rPr>
      </w:pPr>
      <w:r>
        <w:rPr>
          <w:rFonts w:cstheme="minorHAnsi"/>
          <w:sz w:val="24"/>
          <w:szCs w:val="24"/>
        </w:rPr>
        <w:t xml:space="preserve">Source: REMI (2019) and </w:t>
      </w:r>
      <w:proofErr w:type="spellStart"/>
      <w:r>
        <w:rPr>
          <w:rFonts w:cstheme="minorHAnsi"/>
          <w:sz w:val="24"/>
          <w:szCs w:val="24"/>
        </w:rPr>
        <w:t>Dragas</w:t>
      </w:r>
      <w:proofErr w:type="spellEnd"/>
      <w:r>
        <w:rPr>
          <w:rFonts w:cstheme="minorHAnsi"/>
          <w:sz w:val="24"/>
          <w:szCs w:val="24"/>
        </w:rPr>
        <w:t xml:space="preserve"> Center for Economic Analysis and Policy. Estimates for Gross Domestic Product, Output, Value Added, and Real Disposable Personal Income are in </w:t>
      </w:r>
      <w:proofErr w:type="gramStart"/>
      <w:r w:rsidR="00500E82">
        <w:rPr>
          <w:rFonts w:cstheme="minorHAnsi"/>
          <w:sz w:val="24"/>
          <w:szCs w:val="24"/>
        </w:rPr>
        <w:t>millions</w:t>
      </w:r>
      <w:proofErr w:type="gramEnd"/>
      <w:r w:rsidR="00500E82">
        <w:rPr>
          <w:rFonts w:cstheme="minorHAnsi"/>
          <w:sz w:val="24"/>
          <w:szCs w:val="24"/>
        </w:rPr>
        <w:t xml:space="preserve"> of</w:t>
      </w:r>
      <w:r>
        <w:rPr>
          <w:rFonts w:cstheme="minorHAnsi"/>
          <w:sz w:val="24"/>
          <w:szCs w:val="24"/>
        </w:rPr>
        <w:t xml:space="preserve"> 2012 dollars. Personal income and disposable personal income are in millions of nominal dollars.</w:t>
      </w:r>
      <w:r w:rsidR="00463BBF">
        <w:rPr>
          <w:rFonts w:cstheme="minorHAnsi"/>
          <w:sz w:val="24"/>
          <w:szCs w:val="24"/>
        </w:rPr>
        <w:t xml:space="preserve"> Investment spending is investment in nonresidential equipment. Operating expenditures are exogenous industrial production in the utilities industry.</w:t>
      </w:r>
    </w:p>
    <w:p w14:paraId="0F9B1FDF" w14:textId="0B39EFB6" w:rsidR="00CC7699" w:rsidRDefault="00CC7699">
      <w:pPr>
        <w:rPr>
          <w:rFonts w:cstheme="minorHAnsi"/>
          <w:sz w:val="24"/>
          <w:szCs w:val="24"/>
        </w:rPr>
      </w:pPr>
      <w:r>
        <w:rPr>
          <w:rFonts w:cstheme="minorHAnsi"/>
          <w:sz w:val="24"/>
          <w:szCs w:val="24"/>
        </w:rPr>
        <w:br w:type="page"/>
      </w:r>
    </w:p>
    <w:p w14:paraId="0175D8B8" w14:textId="4747D42B" w:rsidR="00CC7699" w:rsidRDefault="00CC7699" w:rsidP="00CC7699">
      <w:pPr>
        <w:spacing w:after="0" w:line="240" w:lineRule="auto"/>
        <w:jc w:val="center"/>
        <w:rPr>
          <w:rFonts w:cstheme="minorHAnsi"/>
          <w:sz w:val="24"/>
          <w:szCs w:val="24"/>
        </w:rPr>
      </w:pPr>
      <w:r w:rsidRPr="00FC0325">
        <w:rPr>
          <w:rFonts w:cstheme="minorHAnsi"/>
          <w:b/>
          <w:sz w:val="24"/>
          <w:szCs w:val="24"/>
        </w:rPr>
        <w:lastRenderedPageBreak/>
        <w:t xml:space="preserve">Table </w:t>
      </w:r>
      <w:r w:rsidR="00C93120">
        <w:rPr>
          <w:rFonts w:cstheme="minorHAnsi"/>
          <w:b/>
          <w:sz w:val="24"/>
          <w:szCs w:val="24"/>
        </w:rPr>
        <w:t>5</w:t>
      </w:r>
    </w:p>
    <w:p w14:paraId="2107CBA9" w14:textId="77777777" w:rsidR="00CC7699" w:rsidRPr="00967BC1" w:rsidRDefault="00CC7699" w:rsidP="00CC7699">
      <w:pPr>
        <w:spacing w:after="0" w:line="240" w:lineRule="auto"/>
        <w:jc w:val="center"/>
        <w:rPr>
          <w:rFonts w:cstheme="minorHAnsi"/>
          <w:sz w:val="24"/>
          <w:szCs w:val="24"/>
        </w:rPr>
      </w:pPr>
      <w:r w:rsidRPr="00967BC1">
        <w:rPr>
          <w:rFonts w:cstheme="minorHAnsi"/>
          <w:b/>
          <w:sz w:val="24"/>
          <w:szCs w:val="24"/>
        </w:rPr>
        <w:t>Estimated Economic Impacts</w:t>
      </w:r>
    </w:p>
    <w:p w14:paraId="431CCA71" w14:textId="13D99455" w:rsidR="00CC7699" w:rsidRDefault="00CC7699" w:rsidP="00CC7699">
      <w:pPr>
        <w:spacing w:after="0"/>
        <w:jc w:val="center"/>
        <w:rPr>
          <w:rFonts w:cstheme="minorHAnsi"/>
          <w:b/>
          <w:sz w:val="24"/>
          <w:szCs w:val="24"/>
        </w:rPr>
      </w:pPr>
      <w:proofErr w:type="spellStart"/>
      <w:r w:rsidRPr="00967BC1">
        <w:rPr>
          <w:rFonts w:cstheme="minorHAnsi"/>
          <w:b/>
          <w:sz w:val="24"/>
          <w:szCs w:val="24"/>
        </w:rPr>
        <w:t>Energix</w:t>
      </w:r>
      <w:proofErr w:type="spellEnd"/>
      <w:r w:rsidRPr="00967BC1">
        <w:rPr>
          <w:rFonts w:cstheme="minorHAnsi"/>
          <w:b/>
          <w:sz w:val="24"/>
          <w:szCs w:val="24"/>
        </w:rPr>
        <w:t xml:space="preserve"> US, LLC </w:t>
      </w:r>
      <w:r>
        <w:rPr>
          <w:rFonts w:cstheme="minorHAnsi"/>
          <w:b/>
          <w:sz w:val="24"/>
          <w:szCs w:val="24"/>
        </w:rPr>
        <w:t>Employment in Northern Virginia</w:t>
      </w:r>
    </w:p>
    <w:p w14:paraId="428F314C" w14:textId="77777777" w:rsidR="00CC7699" w:rsidRPr="00967BC1" w:rsidRDefault="00CC7699" w:rsidP="00CC7699">
      <w:pPr>
        <w:spacing w:after="0"/>
        <w:jc w:val="center"/>
        <w:rPr>
          <w:rFonts w:cstheme="minorHAnsi"/>
          <w:b/>
          <w:sz w:val="24"/>
          <w:szCs w:val="24"/>
        </w:rPr>
      </w:pPr>
      <w:r w:rsidRPr="00967BC1">
        <w:rPr>
          <w:rFonts w:cstheme="minorHAnsi"/>
          <w:b/>
          <w:sz w:val="24"/>
          <w:szCs w:val="24"/>
        </w:rPr>
        <w:t>2019 - 2025</w:t>
      </w:r>
    </w:p>
    <w:p w14:paraId="0A63037C" w14:textId="77777777" w:rsidR="00CC7699" w:rsidRPr="003A755A" w:rsidRDefault="00CC7699" w:rsidP="00CC7699">
      <w:pPr>
        <w:pStyle w:val="ListParagraph"/>
        <w:ind w:left="360"/>
        <w:jc w:val="center"/>
        <w:rPr>
          <w:rFonts w:asciiTheme="minorHAnsi" w:hAnsiTheme="minorHAnsi" w:cstheme="minorHAnsi"/>
          <w:b/>
          <w:sz w:val="24"/>
          <w:szCs w:val="24"/>
        </w:rPr>
      </w:pPr>
    </w:p>
    <w:tbl>
      <w:tblPr>
        <w:tblStyle w:val="TableGrid"/>
        <w:tblW w:w="5000" w:type="pct"/>
        <w:tblLook w:val="04A0" w:firstRow="1" w:lastRow="0" w:firstColumn="1" w:lastColumn="0" w:noHBand="0" w:noVBand="1"/>
      </w:tblPr>
      <w:tblGrid>
        <w:gridCol w:w="4207"/>
        <w:gridCol w:w="1249"/>
        <w:gridCol w:w="1248"/>
        <w:gridCol w:w="1248"/>
        <w:gridCol w:w="1251"/>
        <w:gridCol w:w="1248"/>
        <w:gridCol w:w="1248"/>
        <w:gridCol w:w="1251"/>
      </w:tblGrid>
      <w:tr w:rsidR="00CC7699" w:rsidRPr="004472A9" w14:paraId="6C06859E" w14:textId="77777777" w:rsidTr="004757BA">
        <w:trPr>
          <w:trHeight w:val="315"/>
        </w:trPr>
        <w:tc>
          <w:tcPr>
            <w:tcW w:w="1624" w:type="pct"/>
            <w:noWrap/>
            <w:hideMark/>
          </w:tcPr>
          <w:p w14:paraId="13895B7B" w14:textId="77777777" w:rsidR="00CC7699" w:rsidRPr="004472A9" w:rsidRDefault="00CC7699" w:rsidP="004757BA">
            <w:pPr>
              <w:rPr>
                <w:rFonts w:asciiTheme="minorHAnsi" w:hAnsiTheme="minorHAnsi" w:cstheme="minorHAnsi"/>
                <w:sz w:val="24"/>
                <w:szCs w:val="24"/>
              </w:rPr>
            </w:pPr>
          </w:p>
        </w:tc>
        <w:tc>
          <w:tcPr>
            <w:tcW w:w="482" w:type="pct"/>
            <w:noWrap/>
            <w:hideMark/>
          </w:tcPr>
          <w:p w14:paraId="17873057" w14:textId="77777777" w:rsidR="00CC7699" w:rsidRPr="004472A9" w:rsidRDefault="00CC7699" w:rsidP="004757BA">
            <w:pPr>
              <w:jc w:val="center"/>
              <w:rPr>
                <w:rFonts w:asciiTheme="minorHAnsi" w:hAnsiTheme="minorHAnsi" w:cstheme="minorHAnsi"/>
                <w:b/>
                <w:bCs/>
                <w:sz w:val="24"/>
                <w:szCs w:val="24"/>
              </w:rPr>
            </w:pPr>
            <w:r w:rsidRPr="004472A9">
              <w:rPr>
                <w:rFonts w:asciiTheme="minorHAnsi" w:hAnsiTheme="minorHAnsi" w:cstheme="minorHAnsi"/>
                <w:b/>
                <w:bCs/>
                <w:sz w:val="24"/>
                <w:szCs w:val="24"/>
              </w:rPr>
              <w:t>2019</w:t>
            </w:r>
          </w:p>
        </w:tc>
        <w:tc>
          <w:tcPr>
            <w:tcW w:w="482" w:type="pct"/>
            <w:noWrap/>
            <w:hideMark/>
          </w:tcPr>
          <w:p w14:paraId="385624FD" w14:textId="77777777" w:rsidR="00CC7699" w:rsidRPr="004472A9" w:rsidRDefault="00CC7699" w:rsidP="004757BA">
            <w:pPr>
              <w:jc w:val="center"/>
              <w:rPr>
                <w:rFonts w:asciiTheme="minorHAnsi" w:hAnsiTheme="minorHAnsi" w:cstheme="minorHAnsi"/>
                <w:b/>
                <w:bCs/>
                <w:sz w:val="24"/>
                <w:szCs w:val="24"/>
              </w:rPr>
            </w:pPr>
            <w:r w:rsidRPr="004472A9">
              <w:rPr>
                <w:rFonts w:asciiTheme="minorHAnsi" w:hAnsiTheme="minorHAnsi" w:cstheme="minorHAnsi"/>
                <w:b/>
                <w:bCs/>
                <w:sz w:val="24"/>
                <w:szCs w:val="24"/>
              </w:rPr>
              <w:t>2020</w:t>
            </w:r>
          </w:p>
        </w:tc>
        <w:tc>
          <w:tcPr>
            <w:tcW w:w="482" w:type="pct"/>
            <w:noWrap/>
            <w:hideMark/>
          </w:tcPr>
          <w:p w14:paraId="5BD5DE44" w14:textId="77777777" w:rsidR="00CC7699" w:rsidRPr="004472A9" w:rsidRDefault="00CC7699" w:rsidP="004757BA">
            <w:pPr>
              <w:jc w:val="center"/>
              <w:rPr>
                <w:rFonts w:asciiTheme="minorHAnsi" w:hAnsiTheme="minorHAnsi" w:cstheme="minorHAnsi"/>
                <w:b/>
                <w:bCs/>
                <w:sz w:val="24"/>
                <w:szCs w:val="24"/>
              </w:rPr>
            </w:pPr>
            <w:r w:rsidRPr="004472A9">
              <w:rPr>
                <w:rFonts w:asciiTheme="minorHAnsi" w:hAnsiTheme="minorHAnsi" w:cstheme="minorHAnsi"/>
                <w:b/>
                <w:bCs/>
                <w:sz w:val="24"/>
                <w:szCs w:val="24"/>
              </w:rPr>
              <w:t>2021</w:t>
            </w:r>
          </w:p>
        </w:tc>
        <w:tc>
          <w:tcPr>
            <w:tcW w:w="483" w:type="pct"/>
            <w:noWrap/>
            <w:hideMark/>
          </w:tcPr>
          <w:p w14:paraId="36BCC72C" w14:textId="77777777" w:rsidR="00CC7699" w:rsidRPr="004472A9" w:rsidRDefault="00CC7699" w:rsidP="004757BA">
            <w:pPr>
              <w:jc w:val="center"/>
              <w:rPr>
                <w:rFonts w:asciiTheme="minorHAnsi" w:hAnsiTheme="minorHAnsi" w:cstheme="minorHAnsi"/>
                <w:b/>
                <w:bCs/>
                <w:sz w:val="24"/>
                <w:szCs w:val="24"/>
              </w:rPr>
            </w:pPr>
            <w:r w:rsidRPr="004472A9">
              <w:rPr>
                <w:rFonts w:asciiTheme="minorHAnsi" w:hAnsiTheme="minorHAnsi" w:cstheme="minorHAnsi"/>
                <w:b/>
                <w:bCs/>
                <w:sz w:val="24"/>
                <w:szCs w:val="24"/>
              </w:rPr>
              <w:t>2022</w:t>
            </w:r>
          </w:p>
        </w:tc>
        <w:tc>
          <w:tcPr>
            <w:tcW w:w="482" w:type="pct"/>
            <w:noWrap/>
            <w:hideMark/>
          </w:tcPr>
          <w:p w14:paraId="0331AF1E" w14:textId="77777777" w:rsidR="00CC7699" w:rsidRPr="004472A9" w:rsidRDefault="00CC7699" w:rsidP="004757BA">
            <w:pPr>
              <w:jc w:val="center"/>
              <w:rPr>
                <w:rFonts w:asciiTheme="minorHAnsi" w:hAnsiTheme="minorHAnsi" w:cstheme="minorHAnsi"/>
                <w:b/>
                <w:bCs/>
                <w:sz w:val="24"/>
                <w:szCs w:val="24"/>
              </w:rPr>
            </w:pPr>
            <w:r w:rsidRPr="004472A9">
              <w:rPr>
                <w:rFonts w:asciiTheme="minorHAnsi" w:hAnsiTheme="minorHAnsi" w:cstheme="minorHAnsi"/>
                <w:b/>
                <w:bCs/>
                <w:sz w:val="24"/>
                <w:szCs w:val="24"/>
              </w:rPr>
              <w:t>2023</w:t>
            </w:r>
          </w:p>
        </w:tc>
        <w:tc>
          <w:tcPr>
            <w:tcW w:w="482" w:type="pct"/>
          </w:tcPr>
          <w:p w14:paraId="2417B3FE" w14:textId="77777777" w:rsidR="00CC7699" w:rsidRPr="004472A9" w:rsidRDefault="00CC7699" w:rsidP="004757BA">
            <w:pPr>
              <w:jc w:val="center"/>
              <w:rPr>
                <w:rFonts w:asciiTheme="minorHAnsi" w:hAnsiTheme="minorHAnsi" w:cstheme="minorHAnsi"/>
                <w:b/>
                <w:bCs/>
                <w:sz w:val="24"/>
                <w:szCs w:val="24"/>
              </w:rPr>
            </w:pPr>
            <w:r w:rsidRPr="004472A9">
              <w:rPr>
                <w:rFonts w:asciiTheme="minorHAnsi" w:hAnsiTheme="minorHAnsi" w:cstheme="minorHAnsi"/>
                <w:b/>
                <w:bCs/>
                <w:sz w:val="24"/>
                <w:szCs w:val="24"/>
              </w:rPr>
              <w:t>2024</w:t>
            </w:r>
          </w:p>
        </w:tc>
        <w:tc>
          <w:tcPr>
            <w:tcW w:w="483" w:type="pct"/>
          </w:tcPr>
          <w:p w14:paraId="3C60E38E" w14:textId="77777777" w:rsidR="00CC7699" w:rsidRPr="004472A9" w:rsidRDefault="00CC7699" w:rsidP="004757BA">
            <w:pPr>
              <w:jc w:val="center"/>
              <w:rPr>
                <w:rFonts w:asciiTheme="minorHAnsi" w:hAnsiTheme="minorHAnsi" w:cstheme="minorHAnsi"/>
                <w:b/>
                <w:bCs/>
                <w:sz w:val="24"/>
                <w:szCs w:val="24"/>
              </w:rPr>
            </w:pPr>
            <w:r w:rsidRPr="004472A9">
              <w:rPr>
                <w:rFonts w:asciiTheme="minorHAnsi" w:hAnsiTheme="minorHAnsi" w:cstheme="minorHAnsi"/>
                <w:b/>
                <w:bCs/>
                <w:sz w:val="24"/>
                <w:szCs w:val="24"/>
              </w:rPr>
              <w:t>2025</w:t>
            </w:r>
          </w:p>
        </w:tc>
      </w:tr>
      <w:tr w:rsidR="00275741" w:rsidRPr="004472A9" w14:paraId="1DDA6B3D" w14:textId="77777777" w:rsidTr="00125762">
        <w:trPr>
          <w:trHeight w:val="300"/>
        </w:trPr>
        <w:tc>
          <w:tcPr>
            <w:tcW w:w="1624" w:type="pct"/>
            <w:noWrap/>
            <w:hideMark/>
          </w:tcPr>
          <w:p w14:paraId="5140DFBB" w14:textId="77777777" w:rsidR="00275741" w:rsidRPr="004472A9" w:rsidRDefault="00275741" w:rsidP="00275741">
            <w:pPr>
              <w:rPr>
                <w:rFonts w:asciiTheme="minorHAnsi" w:hAnsiTheme="minorHAnsi" w:cstheme="minorHAnsi"/>
                <w:sz w:val="24"/>
                <w:szCs w:val="24"/>
              </w:rPr>
            </w:pPr>
            <w:r w:rsidRPr="004472A9">
              <w:rPr>
                <w:rFonts w:asciiTheme="minorHAnsi" w:hAnsiTheme="minorHAnsi" w:cstheme="minorHAnsi"/>
                <w:sz w:val="24"/>
                <w:szCs w:val="24"/>
              </w:rPr>
              <w:t>Total Employment (Jobs)</w:t>
            </w:r>
          </w:p>
        </w:tc>
        <w:tc>
          <w:tcPr>
            <w:tcW w:w="482" w:type="pct"/>
            <w:noWrap/>
            <w:hideMark/>
          </w:tcPr>
          <w:p w14:paraId="40D3E0FA" w14:textId="5F6EF65D"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11</w:t>
            </w:r>
          </w:p>
        </w:tc>
        <w:tc>
          <w:tcPr>
            <w:tcW w:w="482" w:type="pct"/>
            <w:noWrap/>
            <w:hideMark/>
          </w:tcPr>
          <w:p w14:paraId="1B6A9AB5" w14:textId="530E044D"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28</w:t>
            </w:r>
          </w:p>
        </w:tc>
        <w:tc>
          <w:tcPr>
            <w:tcW w:w="482" w:type="pct"/>
            <w:noWrap/>
            <w:hideMark/>
          </w:tcPr>
          <w:p w14:paraId="63BDDAF5" w14:textId="2049CEB9"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43</w:t>
            </w:r>
          </w:p>
        </w:tc>
        <w:tc>
          <w:tcPr>
            <w:tcW w:w="483" w:type="pct"/>
            <w:noWrap/>
            <w:hideMark/>
          </w:tcPr>
          <w:p w14:paraId="0585D49B" w14:textId="04CF83C1"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57</w:t>
            </w:r>
          </w:p>
        </w:tc>
        <w:tc>
          <w:tcPr>
            <w:tcW w:w="482" w:type="pct"/>
            <w:noWrap/>
            <w:hideMark/>
          </w:tcPr>
          <w:p w14:paraId="7A39EB7D" w14:textId="5F756588"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58</w:t>
            </w:r>
          </w:p>
        </w:tc>
        <w:tc>
          <w:tcPr>
            <w:tcW w:w="482" w:type="pct"/>
          </w:tcPr>
          <w:p w14:paraId="1B0C088F" w14:textId="6395E5C8"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58</w:t>
            </w:r>
          </w:p>
        </w:tc>
        <w:tc>
          <w:tcPr>
            <w:tcW w:w="483" w:type="pct"/>
          </w:tcPr>
          <w:p w14:paraId="37B10A06" w14:textId="0F6199D9"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57</w:t>
            </w:r>
          </w:p>
        </w:tc>
      </w:tr>
      <w:tr w:rsidR="00275741" w:rsidRPr="004472A9" w14:paraId="7D856797" w14:textId="77777777" w:rsidTr="00125762">
        <w:trPr>
          <w:trHeight w:val="300"/>
        </w:trPr>
        <w:tc>
          <w:tcPr>
            <w:tcW w:w="1624" w:type="pct"/>
            <w:noWrap/>
            <w:hideMark/>
          </w:tcPr>
          <w:p w14:paraId="5F50BB94" w14:textId="77777777" w:rsidR="00275741" w:rsidRPr="004472A9" w:rsidRDefault="00275741" w:rsidP="00275741">
            <w:pPr>
              <w:rPr>
                <w:rFonts w:asciiTheme="minorHAnsi" w:hAnsiTheme="minorHAnsi" w:cstheme="minorHAnsi"/>
                <w:sz w:val="24"/>
                <w:szCs w:val="24"/>
              </w:rPr>
            </w:pPr>
            <w:r w:rsidRPr="004472A9">
              <w:rPr>
                <w:rFonts w:asciiTheme="minorHAnsi" w:hAnsiTheme="minorHAnsi" w:cstheme="minorHAnsi"/>
                <w:sz w:val="24"/>
                <w:szCs w:val="24"/>
              </w:rPr>
              <w:t>Private Non-Farm Employment (Jobs)</w:t>
            </w:r>
          </w:p>
        </w:tc>
        <w:tc>
          <w:tcPr>
            <w:tcW w:w="482" w:type="pct"/>
            <w:noWrap/>
            <w:hideMark/>
          </w:tcPr>
          <w:p w14:paraId="3739145A" w14:textId="7B57AB41"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10</w:t>
            </w:r>
          </w:p>
        </w:tc>
        <w:tc>
          <w:tcPr>
            <w:tcW w:w="482" w:type="pct"/>
            <w:noWrap/>
            <w:hideMark/>
          </w:tcPr>
          <w:p w14:paraId="23CE96A4" w14:textId="766088D0"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27</w:t>
            </w:r>
          </w:p>
        </w:tc>
        <w:tc>
          <w:tcPr>
            <w:tcW w:w="482" w:type="pct"/>
            <w:noWrap/>
            <w:hideMark/>
          </w:tcPr>
          <w:p w14:paraId="4775D22B" w14:textId="366E9C17"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40</w:t>
            </w:r>
          </w:p>
        </w:tc>
        <w:tc>
          <w:tcPr>
            <w:tcW w:w="483" w:type="pct"/>
            <w:noWrap/>
            <w:hideMark/>
          </w:tcPr>
          <w:p w14:paraId="0E0C8521" w14:textId="230D81B4"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54</w:t>
            </w:r>
          </w:p>
        </w:tc>
        <w:tc>
          <w:tcPr>
            <w:tcW w:w="482" w:type="pct"/>
            <w:noWrap/>
            <w:hideMark/>
          </w:tcPr>
          <w:p w14:paraId="115BFDBC" w14:textId="1BAE7C07"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54</w:t>
            </w:r>
          </w:p>
        </w:tc>
        <w:tc>
          <w:tcPr>
            <w:tcW w:w="482" w:type="pct"/>
          </w:tcPr>
          <w:p w14:paraId="1121D85C" w14:textId="0B0C2E02"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53</w:t>
            </w:r>
          </w:p>
        </w:tc>
        <w:tc>
          <w:tcPr>
            <w:tcW w:w="483" w:type="pct"/>
          </w:tcPr>
          <w:p w14:paraId="5A760AB3" w14:textId="5BBADEE3"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52</w:t>
            </w:r>
          </w:p>
        </w:tc>
      </w:tr>
      <w:tr w:rsidR="00275741" w:rsidRPr="004472A9" w14:paraId="230B783D" w14:textId="77777777" w:rsidTr="00125762">
        <w:trPr>
          <w:trHeight w:val="300"/>
        </w:trPr>
        <w:tc>
          <w:tcPr>
            <w:tcW w:w="1624" w:type="pct"/>
            <w:noWrap/>
            <w:hideMark/>
          </w:tcPr>
          <w:p w14:paraId="01E401A6" w14:textId="77777777" w:rsidR="00275741" w:rsidRPr="004472A9" w:rsidRDefault="00275741" w:rsidP="00275741">
            <w:pPr>
              <w:rPr>
                <w:rFonts w:asciiTheme="minorHAnsi" w:hAnsiTheme="minorHAnsi" w:cstheme="minorHAnsi"/>
                <w:sz w:val="24"/>
                <w:szCs w:val="24"/>
              </w:rPr>
            </w:pPr>
            <w:r w:rsidRPr="004472A9">
              <w:rPr>
                <w:rFonts w:asciiTheme="minorHAnsi" w:hAnsiTheme="minorHAnsi" w:cstheme="minorHAnsi"/>
                <w:sz w:val="24"/>
                <w:szCs w:val="24"/>
              </w:rPr>
              <w:t>Residence Adjusted Employment</w:t>
            </w:r>
          </w:p>
        </w:tc>
        <w:tc>
          <w:tcPr>
            <w:tcW w:w="482" w:type="pct"/>
            <w:noWrap/>
            <w:hideMark/>
          </w:tcPr>
          <w:p w14:paraId="231FDF19" w14:textId="0DB17603"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10</w:t>
            </w:r>
          </w:p>
        </w:tc>
        <w:tc>
          <w:tcPr>
            <w:tcW w:w="482" w:type="pct"/>
            <w:noWrap/>
            <w:hideMark/>
          </w:tcPr>
          <w:p w14:paraId="18BE98DB" w14:textId="30EFC120"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25</w:t>
            </w:r>
          </w:p>
        </w:tc>
        <w:tc>
          <w:tcPr>
            <w:tcW w:w="482" w:type="pct"/>
            <w:noWrap/>
            <w:hideMark/>
          </w:tcPr>
          <w:p w14:paraId="62FABAB6" w14:textId="79A4B936"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38</w:t>
            </w:r>
          </w:p>
        </w:tc>
        <w:tc>
          <w:tcPr>
            <w:tcW w:w="483" w:type="pct"/>
            <w:noWrap/>
            <w:hideMark/>
          </w:tcPr>
          <w:p w14:paraId="47D9B7F3" w14:textId="3A3DD99F"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51</w:t>
            </w:r>
          </w:p>
        </w:tc>
        <w:tc>
          <w:tcPr>
            <w:tcW w:w="482" w:type="pct"/>
            <w:noWrap/>
            <w:hideMark/>
          </w:tcPr>
          <w:p w14:paraId="0672CB55" w14:textId="3317490F"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52</w:t>
            </w:r>
          </w:p>
        </w:tc>
        <w:tc>
          <w:tcPr>
            <w:tcW w:w="482" w:type="pct"/>
          </w:tcPr>
          <w:p w14:paraId="7CEF3E7D" w14:textId="718019AD"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53</w:t>
            </w:r>
          </w:p>
        </w:tc>
        <w:tc>
          <w:tcPr>
            <w:tcW w:w="483" w:type="pct"/>
          </w:tcPr>
          <w:p w14:paraId="013D2D9C" w14:textId="11F731B0"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52</w:t>
            </w:r>
          </w:p>
        </w:tc>
      </w:tr>
      <w:tr w:rsidR="00275741" w:rsidRPr="004472A9" w14:paraId="6F6874D5" w14:textId="77777777" w:rsidTr="00125762">
        <w:trPr>
          <w:trHeight w:val="300"/>
        </w:trPr>
        <w:tc>
          <w:tcPr>
            <w:tcW w:w="1624" w:type="pct"/>
            <w:noWrap/>
            <w:hideMark/>
          </w:tcPr>
          <w:p w14:paraId="0A108957" w14:textId="77777777" w:rsidR="00275741" w:rsidRPr="004472A9" w:rsidRDefault="00275741" w:rsidP="00275741">
            <w:pPr>
              <w:rPr>
                <w:rFonts w:asciiTheme="minorHAnsi" w:hAnsiTheme="minorHAnsi" w:cstheme="minorHAnsi"/>
                <w:sz w:val="24"/>
                <w:szCs w:val="24"/>
              </w:rPr>
            </w:pPr>
            <w:r w:rsidRPr="004472A9">
              <w:rPr>
                <w:rFonts w:asciiTheme="minorHAnsi" w:hAnsiTheme="minorHAnsi" w:cstheme="minorHAnsi"/>
                <w:sz w:val="24"/>
                <w:szCs w:val="24"/>
              </w:rPr>
              <w:t>Population</w:t>
            </w:r>
          </w:p>
        </w:tc>
        <w:tc>
          <w:tcPr>
            <w:tcW w:w="482" w:type="pct"/>
            <w:noWrap/>
            <w:hideMark/>
          </w:tcPr>
          <w:p w14:paraId="37719108" w14:textId="6CB6C772"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3</w:t>
            </w:r>
          </w:p>
        </w:tc>
        <w:tc>
          <w:tcPr>
            <w:tcW w:w="482" w:type="pct"/>
            <w:noWrap/>
            <w:hideMark/>
          </w:tcPr>
          <w:p w14:paraId="1AD5A781" w14:textId="3194BF76"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10</w:t>
            </w:r>
          </w:p>
        </w:tc>
        <w:tc>
          <w:tcPr>
            <w:tcW w:w="482" w:type="pct"/>
            <w:noWrap/>
            <w:hideMark/>
          </w:tcPr>
          <w:p w14:paraId="1187B584" w14:textId="39459E14"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20</w:t>
            </w:r>
          </w:p>
        </w:tc>
        <w:tc>
          <w:tcPr>
            <w:tcW w:w="483" w:type="pct"/>
            <w:noWrap/>
            <w:hideMark/>
          </w:tcPr>
          <w:p w14:paraId="1E4B3E87" w14:textId="08D0A690"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31</w:t>
            </w:r>
          </w:p>
        </w:tc>
        <w:tc>
          <w:tcPr>
            <w:tcW w:w="482" w:type="pct"/>
            <w:noWrap/>
            <w:hideMark/>
          </w:tcPr>
          <w:p w14:paraId="47AA9603" w14:textId="5DBFD599"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40</w:t>
            </w:r>
          </w:p>
        </w:tc>
        <w:tc>
          <w:tcPr>
            <w:tcW w:w="482" w:type="pct"/>
          </w:tcPr>
          <w:p w14:paraId="7649CA2D" w14:textId="6D37EC65"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46</w:t>
            </w:r>
          </w:p>
        </w:tc>
        <w:tc>
          <w:tcPr>
            <w:tcW w:w="483" w:type="pct"/>
          </w:tcPr>
          <w:p w14:paraId="07DE1F6E" w14:textId="3EF3F063"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52</w:t>
            </w:r>
          </w:p>
        </w:tc>
      </w:tr>
      <w:tr w:rsidR="00275741" w:rsidRPr="004472A9" w14:paraId="5A32DA9B" w14:textId="77777777" w:rsidTr="00125762">
        <w:trPr>
          <w:trHeight w:val="300"/>
        </w:trPr>
        <w:tc>
          <w:tcPr>
            <w:tcW w:w="1624" w:type="pct"/>
            <w:noWrap/>
            <w:hideMark/>
          </w:tcPr>
          <w:p w14:paraId="15570039" w14:textId="77777777" w:rsidR="00275741" w:rsidRPr="004472A9" w:rsidRDefault="00275741" w:rsidP="00275741">
            <w:pPr>
              <w:rPr>
                <w:rFonts w:asciiTheme="minorHAnsi" w:hAnsiTheme="minorHAnsi" w:cstheme="minorHAnsi"/>
                <w:sz w:val="24"/>
                <w:szCs w:val="24"/>
              </w:rPr>
            </w:pPr>
            <w:r w:rsidRPr="004472A9">
              <w:rPr>
                <w:rFonts w:asciiTheme="minorHAnsi" w:hAnsiTheme="minorHAnsi" w:cstheme="minorHAnsi"/>
                <w:sz w:val="24"/>
                <w:szCs w:val="24"/>
              </w:rPr>
              <w:t>Labor Force</w:t>
            </w:r>
          </w:p>
        </w:tc>
        <w:tc>
          <w:tcPr>
            <w:tcW w:w="482" w:type="pct"/>
            <w:noWrap/>
            <w:hideMark/>
          </w:tcPr>
          <w:p w14:paraId="45B05376" w14:textId="22E6764C"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3</w:t>
            </w:r>
          </w:p>
        </w:tc>
        <w:tc>
          <w:tcPr>
            <w:tcW w:w="482" w:type="pct"/>
            <w:noWrap/>
            <w:hideMark/>
          </w:tcPr>
          <w:p w14:paraId="187EBE05" w14:textId="21614415"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9</w:t>
            </w:r>
          </w:p>
        </w:tc>
        <w:tc>
          <w:tcPr>
            <w:tcW w:w="482" w:type="pct"/>
            <w:noWrap/>
            <w:hideMark/>
          </w:tcPr>
          <w:p w14:paraId="514C8BB9" w14:textId="0C7E00C2"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16</w:t>
            </w:r>
          </w:p>
        </w:tc>
        <w:tc>
          <w:tcPr>
            <w:tcW w:w="483" w:type="pct"/>
            <w:noWrap/>
            <w:hideMark/>
          </w:tcPr>
          <w:p w14:paraId="0099241C" w14:textId="0133B732"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24</w:t>
            </w:r>
          </w:p>
        </w:tc>
        <w:tc>
          <w:tcPr>
            <w:tcW w:w="482" w:type="pct"/>
            <w:noWrap/>
            <w:hideMark/>
          </w:tcPr>
          <w:p w14:paraId="0E0AE8DE" w14:textId="1AAD5349"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30</w:t>
            </w:r>
          </w:p>
        </w:tc>
        <w:tc>
          <w:tcPr>
            <w:tcW w:w="482" w:type="pct"/>
          </w:tcPr>
          <w:p w14:paraId="539443F2" w14:textId="4E495CEA"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33</w:t>
            </w:r>
          </w:p>
        </w:tc>
        <w:tc>
          <w:tcPr>
            <w:tcW w:w="483" w:type="pct"/>
          </w:tcPr>
          <w:p w14:paraId="79FF8233" w14:textId="5E7761C0"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36</w:t>
            </w:r>
          </w:p>
        </w:tc>
      </w:tr>
      <w:tr w:rsidR="00275741" w:rsidRPr="004472A9" w14:paraId="7DAF5EE1" w14:textId="77777777" w:rsidTr="00125762">
        <w:trPr>
          <w:trHeight w:val="300"/>
        </w:trPr>
        <w:tc>
          <w:tcPr>
            <w:tcW w:w="1624" w:type="pct"/>
            <w:noWrap/>
            <w:hideMark/>
          </w:tcPr>
          <w:p w14:paraId="6BF964B7" w14:textId="77777777" w:rsidR="00275741" w:rsidRPr="004472A9" w:rsidRDefault="00275741" w:rsidP="00275741">
            <w:pPr>
              <w:rPr>
                <w:rFonts w:asciiTheme="minorHAnsi" w:hAnsiTheme="minorHAnsi" w:cstheme="minorHAnsi"/>
                <w:sz w:val="24"/>
                <w:szCs w:val="24"/>
              </w:rPr>
            </w:pPr>
            <w:r w:rsidRPr="004472A9">
              <w:rPr>
                <w:rFonts w:asciiTheme="minorHAnsi" w:hAnsiTheme="minorHAnsi" w:cstheme="minorHAnsi"/>
                <w:sz w:val="24"/>
                <w:szCs w:val="24"/>
              </w:rPr>
              <w:t>Gross Domestic Product</w:t>
            </w:r>
          </w:p>
        </w:tc>
        <w:tc>
          <w:tcPr>
            <w:tcW w:w="482" w:type="pct"/>
            <w:noWrap/>
            <w:hideMark/>
          </w:tcPr>
          <w:p w14:paraId="5999BCB6" w14:textId="5695C31C"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$1.0 </w:t>
            </w:r>
          </w:p>
        </w:tc>
        <w:tc>
          <w:tcPr>
            <w:tcW w:w="482" w:type="pct"/>
            <w:noWrap/>
            <w:hideMark/>
          </w:tcPr>
          <w:p w14:paraId="79E9723F" w14:textId="02CFED8A"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$2.5 </w:t>
            </w:r>
          </w:p>
        </w:tc>
        <w:tc>
          <w:tcPr>
            <w:tcW w:w="482" w:type="pct"/>
            <w:noWrap/>
            <w:hideMark/>
          </w:tcPr>
          <w:p w14:paraId="0BD0DCD1" w14:textId="75E178F6"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$3.9 </w:t>
            </w:r>
          </w:p>
        </w:tc>
        <w:tc>
          <w:tcPr>
            <w:tcW w:w="483" w:type="pct"/>
            <w:noWrap/>
            <w:hideMark/>
          </w:tcPr>
          <w:p w14:paraId="66B3F033" w14:textId="6F766ABB"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$5.3 </w:t>
            </w:r>
          </w:p>
        </w:tc>
        <w:tc>
          <w:tcPr>
            <w:tcW w:w="482" w:type="pct"/>
            <w:noWrap/>
            <w:hideMark/>
          </w:tcPr>
          <w:p w14:paraId="2012D029" w14:textId="1415EF8A"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$5.5 </w:t>
            </w:r>
          </w:p>
        </w:tc>
        <w:tc>
          <w:tcPr>
            <w:tcW w:w="482" w:type="pct"/>
          </w:tcPr>
          <w:p w14:paraId="0CC8837F" w14:textId="339527FD"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$5.5 </w:t>
            </w:r>
          </w:p>
        </w:tc>
        <w:tc>
          <w:tcPr>
            <w:tcW w:w="483" w:type="pct"/>
          </w:tcPr>
          <w:p w14:paraId="0369675F" w14:textId="3CD1E928"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$5.5 </w:t>
            </w:r>
          </w:p>
        </w:tc>
      </w:tr>
      <w:tr w:rsidR="00275741" w:rsidRPr="004472A9" w14:paraId="0527DCC8" w14:textId="77777777" w:rsidTr="00125762">
        <w:trPr>
          <w:trHeight w:val="300"/>
        </w:trPr>
        <w:tc>
          <w:tcPr>
            <w:tcW w:w="1624" w:type="pct"/>
            <w:noWrap/>
            <w:hideMark/>
          </w:tcPr>
          <w:p w14:paraId="4BD7E6DB" w14:textId="77777777" w:rsidR="00275741" w:rsidRPr="004472A9" w:rsidRDefault="00275741" w:rsidP="00275741">
            <w:pPr>
              <w:rPr>
                <w:rFonts w:asciiTheme="minorHAnsi" w:hAnsiTheme="minorHAnsi" w:cstheme="minorHAnsi"/>
                <w:sz w:val="24"/>
                <w:szCs w:val="24"/>
              </w:rPr>
            </w:pPr>
            <w:r w:rsidRPr="004472A9">
              <w:rPr>
                <w:rFonts w:asciiTheme="minorHAnsi" w:hAnsiTheme="minorHAnsi" w:cstheme="minorHAnsi"/>
                <w:sz w:val="24"/>
                <w:szCs w:val="24"/>
              </w:rPr>
              <w:t>Output</w:t>
            </w:r>
          </w:p>
        </w:tc>
        <w:tc>
          <w:tcPr>
            <w:tcW w:w="482" w:type="pct"/>
            <w:noWrap/>
            <w:hideMark/>
          </w:tcPr>
          <w:p w14:paraId="34C048FC" w14:textId="4AA81BE9"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$1.7 </w:t>
            </w:r>
          </w:p>
        </w:tc>
        <w:tc>
          <w:tcPr>
            <w:tcW w:w="482" w:type="pct"/>
            <w:noWrap/>
            <w:hideMark/>
          </w:tcPr>
          <w:p w14:paraId="4FBCB4D3" w14:textId="7457ECDE"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$4.4 </w:t>
            </w:r>
          </w:p>
        </w:tc>
        <w:tc>
          <w:tcPr>
            <w:tcW w:w="482" w:type="pct"/>
            <w:noWrap/>
            <w:hideMark/>
          </w:tcPr>
          <w:p w14:paraId="1571F538" w14:textId="2DA3909A"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$6.8 </w:t>
            </w:r>
          </w:p>
        </w:tc>
        <w:tc>
          <w:tcPr>
            <w:tcW w:w="483" w:type="pct"/>
            <w:noWrap/>
            <w:hideMark/>
          </w:tcPr>
          <w:p w14:paraId="4FD934C4" w14:textId="50423ACC"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$9.3 </w:t>
            </w:r>
          </w:p>
        </w:tc>
        <w:tc>
          <w:tcPr>
            <w:tcW w:w="482" w:type="pct"/>
            <w:noWrap/>
            <w:hideMark/>
          </w:tcPr>
          <w:p w14:paraId="5ACA31B9" w14:textId="1D7F045D"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$9.5 </w:t>
            </w:r>
          </w:p>
        </w:tc>
        <w:tc>
          <w:tcPr>
            <w:tcW w:w="482" w:type="pct"/>
          </w:tcPr>
          <w:p w14:paraId="19E25CFA" w14:textId="522B7C71"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$9.5 </w:t>
            </w:r>
          </w:p>
        </w:tc>
        <w:tc>
          <w:tcPr>
            <w:tcW w:w="483" w:type="pct"/>
          </w:tcPr>
          <w:p w14:paraId="1C15A356" w14:textId="0640DF65"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$9.5 </w:t>
            </w:r>
          </w:p>
        </w:tc>
      </w:tr>
      <w:tr w:rsidR="00275741" w:rsidRPr="004472A9" w14:paraId="5D94D5FB" w14:textId="77777777" w:rsidTr="00125762">
        <w:trPr>
          <w:trHeight w:val="300"/>
        </w:trPr>
        <w:tc>
          <w:tcPr>
            <w:tcW w:w="1624" w:type="pct"/>
            <w:noWrap/>
            <w:hideMark/>
          </w:tcPr>
          <w:p w14:paraId="654DA385" w14:textId="77777777" w:rsidR="00275741" w:rsidRPr="004472A9" w:rsidRDefault="00275741" w:rsidP="00275741">
            <w:pPr>
              <w:rPr>
                <w:rFonts w:asciiTheme="minorHAnsi" w:hAnsiTheme="minorHAnsi" w:cstheme="minorHAnsi"/>
                <w:sz w:val="24"/>
                <w:szCs w:val="24"/>
              </w:rPr>
            </w:pPr>
            <w:r w:rsidRPr="004472A9">
              <w:rPr>
                <w:rFonts w:asciiTheme="minorHAnsi" w:hAnsiTheme="minorHAnsi" w:cstheme="minorHAnsi"/>
                <w:sz w:val="24"/>
                <w:szCs w:val="24"/>
              </w:rPr>
              <w:t>Value-Added</w:t>
            </w:r>
          </w:p>
        </w:tc>
        <w:tc>
          <w:tcPr>
            <w:tcW w:w="482" w:type="pct"/>
            <w:noWrap/>
            <w:hideMark/>
          </w:tcPr>
          <w:p w14:paraId="6E870E5D" w14:textId="4754B7F6"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$1.0 </w:t>
            </w:r>
          </w:p>
        </w:tc>
        <w:tc>
          <w:tcPr>
            <w:tcW w:w="482" w:type="pct"/>
            <w:noWrap/>
            <w:hideMark/>
          </w:tcPr>
          <w:p w14:paraId="4E3EF8F3" w14:textId="73B07B22"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$2.5 </w:t>
            </w:r>
          </w:p>
        </w:tc>
        <w:tc>
          <w:tcPr>
            <w:tcW w:w="482" w:type="pct"/>
            <w:noWrap/>
            <w:hideMark/>
          </w:tcPr>
          <w:p w14:paraId="60E16328" w14:textId="0276E8DC"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$3.9 </w:t>
            </w:r>
          </w:p>
        </w:tc>
        <w:tc>
          <w:tcPr>
            <w:tcW w:w="483" w:type="pct"/>
            <w:noWrap/>
            <w:hideMark/>
          </w:tcPr>
          <w:p w14:paraId="41A5F06A" w14:textId="14F567FF"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$5.3 </w:t>
            </w:r>
          </w:p>
        </w:tc>
        <w:tc>
          <w:tcPr>
            <w:tcW w:w="482" w:type="pct"/>
            <w:noWrap/>
            <w:hideMark/>
          </w:tcPr>
          <w:p w14:paraId="1604E827" w14:textId="073B7D3E"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$5.5 </w:t>
            </w:r>
          </w:p>
        </w:tc>
        <w:tc>
          <w:tcPr>
            <w:tcW w:w="482" w:type="pct"/>
          </w:tcPr>
          <w:p w14:paraId="554AEB3F" w14:textId="13F56311"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$5.5 </w:t>
            </w:r>
          </w:p>
        </w:tc>
        <w:tc>
          <w:tcPr>
            <w:tcW w:w="483" w:type="pct"/>
          </w:tcPr>
          <w:p w14:paraId="362FA9E0" w14:textId="69ED46BF"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$5.5 </w:t>
            </w:r>
          </w:p>
        </w:tc>
      </w:tr>
      <w:tr w:rsidR="00275741" w:rsidRPr="004472A9" w14:paraId="5F222823" w14:textId="77777777" w:rsidTr="00125762">
        <w:trPr>
          <w:trHeight w:val="300"/>
        </w:trPr>
        <w:tc>
          <w:tcPr>
            <w:tcW w:w="1624" w:type="pct"/>
            <w:noWrap/>
            <w:hideMark/>
          </w:tcPr>
          <w:p w14:paraId="31E1F5B2" w14:textId="77777777" w:rsidR="00275741" w:rsidRPr="004472A9" w:rsidRDefault="00275741" w:rsidP="00275741">
            <w:pPr>
              <w:rPr>
                <w:rFonts w:asciiTheme="minorHAnsi" w:hAnsiTheme="minorHAnsi" w:cstheme="minorHAnsi"/>
                <w:sz w:val="24"/>
                <w:szCs w:val="24"/>
              </w:rPr>
            </w:pPr>
            <w:r w:rsidRPr="004472A9">
              <w:rPr>
                <w:rFonts w:asciiTheme="minorHAnsi" w:hAnsiTheme="minorHAnsi" w:cstheme="minorHAnsi"/>
                <w:sz w:val="24"/>
                <w:szCs w:val="24"/>
              </w:rPr>
              <w:t>Personal Income</w:t>
            </w:r>
          </w:p>
        </w:tc>
        <w:tc>
          <w:tcPr>
            <w:tcW w:w="482" w:type="pct"/>
            <w:noWrap/>
            <w:hideMark/>
          </w:tcPr>
          <w:p w14:paraId="449B7CA3" w14:textId="35B70F7B"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$0.9 </w:t>
            </w:r>
          </w:p>
        </w:tc>
        <w:tc>
          <w:tcPr>
            <w:tcW w:w="482" w:type="pct"/>
            <w:noWrap/>
            <w:hideMark/>
          </w:tcPr>
          <w:p w14:paraId="1C09644A" w14:textId="1D215F2F"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$2.3 </w:t>
            </w:r>
          </w:p>
        </w:tc>
        <w:tc>
          <w:tcPr>
            <w:tcW w:w="482" w:type="pct"/>
            <w:noWrap/>
            <w:hideMark/>
          </w:tcPr>
          <w:p w14:paraId="2F593404" w14:textId="43B8C5CF"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$3.8 </w:t>
            </w:r>
          </w:p>
        </w:tc>
        <w:tc>
          <w:tcPr>
            <w:tcW w:w="483" w:type="pct"/>
            <w:noWrap/>
            <w:hideMark/>
          </w:tcPr>
          <w:p w14:paraId="0C2D3BB9" w14:textId="0B5D1B2C"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$5.4 </w:t>
            </w:r>
          </w:p>
        </w:tc>
        <w:tc>
          <w:tcPr>
            <w:tcW w:w="482" w:type="pct"/>
            <w:noWrap/>
            <w:hideMark/>
          </w:tcPr>
          <w:p w14:paraId="3E58D983" w14:textId="1F03933F"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$5.9 </w:t>
            </w:r>
          </w:p>
        </w:tc>
        <w:tc>
          <w:tcPr>
            <w:tcW w:w="482" w:type="pct"/>
          </w:tcPr>
          <w:p w14:paraId="719D3DFE" w14:textId="65C7C0F9"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$6.3 </w:t>
            </w:r>
          </w:p>
        </w:tc>
        <w:tc>
          <w:tcPr>
            <w:tcW w:w="483" w:type="pct"/>
          </w:tcPr>
          <w:p w14:paraId="38603D73" w14:textId="138A5B9C"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$6.6 </w:t>
            </w:r>
          </w:p>
        </w:tc>
      </w:tr>
      <w:tr w:rsidR="00275741" w:rsidRPr="004472A9" w14:paraId="350462F7" w14:textId="77777777" w:rsidTr="00125762">
        <w:trPr>
          <w:trHeight w:val="300"/>
        </w:trPr>
        <w:tc>
          <w:tcPr>
            <w:tcW w:w="1624" w:type="pct"/>
            <w:noWrap/>
            <w:hideMark/>
          </w:tcPr>
          <w:p w14:paraId="3C6AABDE" w14:textId="77777777" w:rsidR="00275741" w:rsidRPr="004472A9" w:rsidRDefault="00275741" w:rsidP="00275741">
            <w:pPr>
              <w:rPr>
                <w:rFonts w:asciiTheme="minorHAnsi" w:hAnsiTheme="minorHAnsi" w:cstheme="minorHAnsi"/>
                <w:sz w:val="24"/>
                <w:szCs w:val="24"/>
              </w:rPr>
            </w:pPr>
            <w:r w:rsidRPr="004472A9">
              <w:rPr>
                <w:rFonts w:asciiTheme="minorHAnsi" w:hAnsiTheme="minorHAnsi" w:cstheme="minorHAnsi"/>
                <w:sz w:val="24"/>
                <w:szCs w:val="24"/>
              </w:rPr>
              <w:t>Disposable Personal Income</w:t>
            </w:r>
          </w:p>
        </w:tc>
        <w:tc>
          <w:tcPr>
            <w:tcW w:w="482" w:type="pct"/>
            <w:noWrap/>
            <w:hideMark/>
          </w:tcPr>
          <w:p w14:paraId="635045BA" w14:textId="33F63A7A"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$0.7 </w:t>
            </w:r>
          </w:p>
        </w:tc>
        <w:tc>
          <w:tcPr>
            <w:tcW w:w="482" w:type="pct"/>
            <w:noWrap/>
            <w:hideMark/>
          </w:tcPr>
          <w:p w14:paraId="198FE7DC" w14:textId="6F829B57"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$2.0 </w:t>
            </w:r>
          </w:p>
        </w:tc>
        <w:tc>
          <w:tcPr>
            <w:tcW w:w="482" w:type="pct"/>
            <w:noWrap/>
            <w:hideMark/>
          </w:tcPr>
          <w:p w14:paraId="40BE9CFE" w14:textId="6DD56742"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$3.3 </w:t>
            </w:r>
          </w:p>
        </w:tc>
        <w:tc>
          <w:tcPr>
            <w:tcW w:w="483" w:type="pct"/>
            <w:noWrap/>
            <w:hideMark/>
          </w:tcPr>
          <w:p w14:paraId="6B998D58" w14:textId="772F3EF3"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$4.7 </w:t>
            </w:r>
          </w:p>
        </w:tc>
        <w:tc>
          <w:tcPr>
            <w:tcW w:w="482" w:type="pct"/>
            <w:noWrap/>
            <w:hideMark/>
          </w:tcPr>
          <w:p w14:paraId="7CD05756" w14:textId="07F198EA"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$5.1 </w:t>
            </w:r>
          </w:p>
        </w:tc>
        <w:tc>
          <w:tcPr>
            <w:tcW w:w="482" w:type="pct"/>
          </w:tcPr>
          <w:p w14:paraId="5FB36D82" w14:textId="16657C9B"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$5.4 </w:t>
            </w:r>
          </w:p>
        </w:tc>
        <w:tc>
          <w:tcPr>
            <w:tcW w:w="483" w:type="pct"/>
          </w:tcPr>
          <w:p w14:paraId="017D0A65" w14:textId="562F9CB2"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$5.7 </w:t>
            </w:r>
          </w:p>
        </w:tc>
      </w:tr>
      <w:tr w:rsidR="00275741" w:rsidRPr="004472A9" w14:paraId="57DDD047" w14:textId="77777777" w:rsidTr="00125762">
        <w:trPr>
          <w:trHeight w:val="300"/>
        </w:trPr>
        <w:tc>
          <w:tcPr>
            <w:tcW w:w="1624" w:type="pct"/>
            <w:noWrap/>
            <w:hideMark/>
          </w:tcPr>
          <w:p w14:paraId="04555FE6" w14:textId="77777777" w:rsidR="00275741" w:rsidRPr="004472A9" w:rsidRDefault="00275741" w:rsidP="00275741">
            <w:pPr>
              <w:rPr>
                <w:rFonts w:asciiTheme="minorHAnsi" w:hAnsiTheme="minorHAnsi" w:cstheme="minorHAnsi"/>
                <w:sz w:val="24"/>
                <w:szCs w:val="24"/>
              </w:rPr>
            </w:pPr>
            <w:r w:rsidRPr="004472A9">
              <w:rPr>
                <w:rFonts w:asciiTheme="minorHAnsi" w:hAnsiTheme="minorHAnsi" w:cstheme="minorHAnsi"/>
                <w:sz w:val="24"/>
                <w:szCs w:val="24"/>
              </w:rPr>
              <w:t>Real Disposable Personal Income</w:t>
            </w:r>
          </w:p>
        </w:tc>
        <w:tc>
          <w:tcPr>
            <w:tcW w:w="482" w:type="pct"/>
            <w:noWrap/>
            <w:hideMark/>
          </w:tcPr>
          <w:p w14:paraId="5A4CA214" w14:textId="0B8E74CE"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$0.7 </w:t>
            </w:r>
          </w:p>
        </w:tc>
        <w:tc>
          <w:tcPr>
            <w:tcW w:w="482" w:type="pct"/>
            <w:noWrap/>
            <w:hideMark/>
          </w:tcPr>
          <w:p w14:paraId="48F2BF35" w14:textId="3F29894D"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$1.7 </w:t>
            </w:r>
          </w:p>
        </w:tc>
        <w:tc>
          <w:tcPr>
            <w:tcW w:w="482" w:type="pct"/>
            <w:noWrap/>
            <w:hideMark/>
          </w:tcPr>
          <w:p w14:paraId="239E1FA2" w14:textId="07EC22B9"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$2.6 </w:t>
            </w:r>
          </w:p>
        </w:tc>
        <w:tc>
          <w:tcPr>
            <w:tcW w:w="483" w:type="pct"/>
            <w:noWrap/>
            <w:hideMark/>
          </w:tcPr>
          <w:p w14:paraId="0430595B" w14:textId="6722196E"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$3.5 </w:t>
            </w:r>
          </w:p>
        </w:tc>
        <w:tc>
          <w:tcPr>
            <w:tcW w:w="482" w:type="pct"/>
            <w:noWrap/>
            <w:hideMark/>
          </w:tcPr>
          <w:p w14:paraId="4DE0A0D2" w14:textId="1FE7E6E7"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$3.6 </w:t>
            </w:r>
          </w:p>
        </w:tc>
        <w:tc>
          <w:tcPr>
            <w:tcW w:w="482" w:type="pct"/>
          </w:tcPr>
          <w:p w14:paraId="3D866AEF" w14:textId="5D7EB400"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$3.8 </w:t>
            </w:r>
          </w:p>
        </w:tc>
        <w:tc>
          <w:tcPr>
            <w:tcW w:w="483" w:type="pct"/>
          </w:tcPr>
          <w:p w14:paraId="68C13A13" w14:textId="178CA5D9" w:rsidR="00275741" w:rsidRPr="004472A9" w:rsidRDefault="00275741" w:rsidP="00275741">
            <w:pPr>
              <w:jc w:val="center"/>
              <w:rPr>
                <w:rFonts w:asciiTheme="minorHAnsi" w:hAnsiTheme="minorHAnsi" w:cstheme="minorHAnsi"/>
                <w:sz w:val="24"/>
                <w:szCs w:val="24"/>
              </w:rPr>
            </w:pPr>
            <w:r w:rsidRPr="004472A9">
              <w:rPr>
                <w:rFonts w:asciiTheme="minorHAnsi" w:hAnsiTheme="minorHAnsi" w:cstheme="minorHAnsi"/>
                <w:sz w:val="24"/>
                <w:szCs w:val="24"/>
              </w:rPr>
              <w:t xml:space="preserve"> $3.9 </w:t>
            </w:r>
          </w:p>
        </w:tc>
      </w:tr>
      <w:tr w:rsidR="00CC7699" w:rsidRPr="004472A9" w14:paraId="202FF6F8" w14:textId="77777777" w:rsidTr="004757BA">
        <w:trPr>
          <w:trHeight w:val="300"/>
        </w:trPr>
        <w:tc>
          <w:tcPr>
            <w:tcW w:w="1624" w:type="pct"/>
            <w:noWrap/>
          </w:tcPr>
          <w:p w14:paraId="738C2AC7" w14:textId="77777777" w:rsidR="00CC7699" w:rsidRPr="004472A9" w:rsidRDefault="00CC7699" w:rsidP="004757BA">
            <w:pPr>
              <w:rPr>
                <w:rFonts w:asciiTheme="minorHAnsi" w:hAnsiTheme="minorHAnsi" w:cstheme="minorHAnsi"/>
                <w:sz w:val="24"/>
                <w:szCs w:val="24"/>
              </w:rPr>
            </w:pPr>
          </w:p>
        </w:tc>
        <w:tc>
          <w:tcPr>
            <w:tcW w:w="482" w:type="pct"/>
            <w:noWrap/>
            <w:vAlign w:val="bottom"/>
          </w:tcPr>
          <w:p w14:paraId="6351FF37" w14:textId="77777777" w:rsidR="00CC7699" w:rsidRPr="004472A9" w:rsidRDefault="00CC7699" w:rsidP="004757BA">
            <w:pPr>
              <w:jc w:val="center"/>
              <w:rPr>
                <w:rFonts w:asciiTheme="minorHAnsi" w:hAnsiTheme="minorHAnsi" w:cstheme="minorHAnsi"/>
                <w:sz w:val="24"/>
                <w:szCs w:val="24"/>
              </w:rPr>
            </w:pPr>
          </w:p>
        </w:tc>
        <w:tc>
          <w:tcPr>
            <w:tcW w:w="482" w:type="pct"/>
            <w:noWrap/>
            <w:vAlign w:val="bottom"/>
          </w:tcPr>
          <w:p w14:paraId="5BB8C29C" w14:textId="77777777" w:rsidR="00CC7699" w:rsidRPr="004472A9" w:rsidRDefault="00CC7699" w:rsidP="004757BA">
            <w:pPr>
              <w:jc w:val="center"/>
              <w:rPr>
                <w:rFonts w:asciiTheme="minorHAnsi" w:hAnsiTheme="minorHAnsi" w:cstheme="minorHAnsi"/>
                <w:sz w:val="24"/>
                <w:szCs w:val="24"/>
              </w:rPr>
            </w:pPr>
          </w:p>
        </w:tc>
        <w:tc>
          <w:tcPr>
            <w:tcW w:w="482" w:type="pct"/>
            <w:noWrap/>
            <w:vAlign w:val="bottom"/>
          </w:tcPr>
          <w:p w14:paraId="5A0ECE82" w14:textId="77777777" w:rsidR="00CC7699" w:rsidRPr="004472A9" w:rsidRDefault="00CC7699" w:rsidP="004757BA">
            <w:pPr>
              <w:jc w:val="center"/>
              <w:rPr>
                <w:rFonts w:asciiTheme="minorHAnsi" w:hAnsiTheme="minorHAnsi" w:cstheme="minorHAnsi"/>
                <w:sz w:val="24"/>
                <w:szCs w:val="24"/>
              </w:rPr>
            </w:pPr>
          </w:p>
        </w:tc>
        <w:tc>
          <w:tcPr>
            <w:tcW w:w="483" w:type="pct"/>
            <w:noWrap/>
            <w:vAlign w:val="bottom"/>
          </w:tcPr>
          <w:p w14:paraId="05154A64" w14:textId="77777777" w:rsidR="00CC7699" w:rsidRPr="004472A9" w:rsidRDefault="00CC7699" w:rsidP="004757BA">
            <w:pPr>
              <w:jc w:val="center"/>
              <w:rPr>
                <w:rFonts w:asciiTheme="minorHAnsi" w:hAnsiTheme="minorHAnsi" w:cstheme="minorHAnsi"/>
                <w:sz w:val="24"/>
                <w:szCs w:val="24"/>
              </w:rPr>
            </w:pPr>
          </w:p>
        </w:tc>
        <w:tc>
          <w:tcPr>
            <w:tcW w:w="482" w:type="pct"/>
            <w:noWrap/>
            <w:vAlign w:val="bottom"/>
          </w:tcPr>
          <w:p w14:paraId="1CD386CB" w14:textId="77777777" w:rsidR="00CC7699" w:rsidRPr="004472A9" w:rsidRDefault="00CC7699" w:rsidP="004757BA">
            <w:pPr>
              <w:jc w:val="center"/>
              <w:rPr>
                <w:rFonts w:asciiTheme="minorHAnsi" w:hAnsiTheme="minorHAnsi" w:cstheme="minorHAnsi"/>
                <w:sz w:val="24"/>
                <w:szCs w:val="24"/>
              </w:rPr>
            </w:pPr>
          </w:p>
        </w:tc>
        <w:tc>
          <w:tcPr>
            <w:tcW w:w="482" w:type="pct"/>
          </w:tcPr>
          <w:p w14:paraId="79E6D084" w14:textId="77777777" w:rsidR="00CC7699" w:rsidRPr="004472A9" w:rsidRDefault="00CC7699" w:rsidP="004757BA">
            <w:pPr>
              <w:jc w:val="center"/>
              <w:rPr>
                <w:rFonts w:asciiTheme="minorHAnsi" w:hAnsiTheme="minorHAnsi" w:cstheme="minorHAnsi"/>
                <w:sz w:val="24"/>
                <w:szCs w:val="24"/>
              </w:rPr>
            </w:pPr>
          </w:p>
        </w:tc>
        <w:tc>
          <w:tcPr>
            <w:tcW w:w="483" w:type="pct"/>
          </w:tcPr>
          <w:p w14:paraId="26DA4FB1" w14:textId="77777777" w:rsidR="00CC7699" w:rsidRPr="004472A9" w:rsidRDefault="00CC7699" w:rsidP="004757BA">
            <w:pPr>
              <w:jc w:val="center"/>
              <w:rPr>
                <w:rFonts w:asciiTheme="minorHAnsi" w:hAnsiTheme="minorHAnsi" w:cstheme="minorHAnsi"/>
                <w:sz w:val="24"/>
                <w:szCs w:val="24"/>
              </w:rPr>
            </w:pPr>
          </w:p>
        </w:tc>
      </w:tr>
      <w:tr w:rsidR="00CC7699" w:rsidRPr="004472A9" w14:paraId="72C17AA7" w14:textId="77777777" w:rsidTr="004757BA">
        <w:trPr>
          <w:trHeight w:val="300"/>
        </w:trPr>
        <w:tc>
          <w:tcPr>
            <w:tcW w:w="1624" w:type="pct"/>
            <w:noWrap/>
          </w:tcPr>
          <w:p w14:paraId="6B224E60" w14:textId="3B2D43AF" w:rsidR="00CC7699" w:rsidRPr="004472A9" w:rsidRDefault="00CC7699" w:rsidP="004757BA">
            <w:pPr>
              <w:rPr>
                <w:rFonts w:asciiTheme="minorHAnsi" w:hAnsiTheme="minorHAnsi" w:cstheme="minorHAnsi"/>
                <w:sz w:val="24"/>
                <w:szCs w:val="24"/>
              </w:rPr>
            </w:pPr>
            <w:proofErr w:type="spellStart"/>
            <w:r w:rsidRPr="004472A9">
              <w:rPr>
                <w:rFonts w:asciiTheme="minorHAnsi" w:hAnsiTheme="minorHAnsi" w:cstheme="minorHAnsi"/>
                <w:sz w:val="24"/>
                <w:szCs w:val="24"/>
              </w:rPr>
              <w:t>Energix</w:t>
            </w:r>
            <w:proofErr w:type="spellEnd"/>
            <w:r w:rsidRPr="004472A9">
              <w:rPr>
                <w:rFonts w:asciiTheme="minorHAnsi" w:hAnsiTheme="minorHAnsi" w:cstheme="minorHAnsi"/>
                <w:sz w:val="24"/>
                <w:szCs w:val="24"/>
              </w:rPr>
              <w:t xml:space="preserve"> Employment</w:t>
            </w:r>
          </w:p>
        </w:tc>
        <w:tc>
          <w:tcPr>
            <w:tcW w:w="482" w:type="pct"/>
            <w:noWrap/>
            <w:vAlign w:val="bottom"/>
          </w:tcPr>
          <w:p w14:paraId="1E25A141" w14:textId="2A9E0817" w:rsidR="00CC7699" w:rsidRPr="004472A9" w:rsidRDefault="0041017A" w:rsidP="004757BA">
            <w:pPr>
              <w:jc w:val="center"/>
              <w:rPr>
                <w:rFonts w:asciiTheme="minorHAnsi" w:hAnsiTheme="minorHAnsi" w:cstheme="minorHAnsi"/>
                <w:sz w:val="24"/>
                <w:szCs w:val="24"/>
              </w:rPr>
            </w:pPr>
            <w:r w:rsidRPr="004472A9">
              <w:rPr>
                <w:rFonts w:asciiTheme="minorHAnsi" w:hAnsiTheme="minorHAnsi" w:cstheme="minorHAnsi"/>
                <w:sz w:val="24"/>
                <w:szCs w:val="24"/>
              </w:rPr>
              <w:t>4</w:t>
            </w:r>
          </w:p>
        </w:tc>
        <w:tc>
          <w:tcPr>
            <w:tcW w:w="482" w:type="pct"/>
            <w:noWrap/>
            <w:vAlign w:val="bottom"/>
          </w:tcPr>
          <w:p w14:paraId="24A7EF24" w14:textId="363892B2" w:rsidR="00CC7699" w:rsidRPr="004472A9" w:rsidRDefault="0041017A" w:rsidP="004757BA">
            <w:pPr>
              <w:jc w:val="center"/>
              <w:rPr>
                <w:rFonts w:asciiTheme="minorHAnsi" w:hAnsiTheme="minorHAnsi" w:cstheme="minorHAnsi"/>
                <w:sz w:val="24"/>
                <w:szCs w:val="24"/>
              </w:rPr>
            </w:pPr>
            <w:r w:rsidRPr="004472A9">
              <w:rPr>
                <w:rFonts w:asciiTheme="minorHAnsi" w:hAnsiTheme="minorHAnsi" w:cstheme="minorHAnsi"/>
                <w:sz w:val="24"/>
                <w:szCs w:val="24"/>
              </w:rPr>
              <w:t>10</w:t>
            </w:r>
          </w:p>
        </w:tc>
        <w:tc>
          <w:tcPr>
            <w:tcW w:w="482" w:type="pct"/>
            <w:noWrap/>
            <w:vAlign w:val="bottom"/>
          </w:tcPr>
          <w:p w14:paraId="598DF837" w14:textId="6462E582" w:rsidR="00CC7699" w:rsidRPr="004472A9" w:rsidRDefault="0041017A" w:rsidP="004757BA">
            <w:pPr>
              <w:jc w:val="center"/>
              <w:rPr>
                <w:rFonts w:asciiTheme="minorHAnsi" w:hAnsiTheme="minorHAnsi" w:cstheme="minorHAnsi"/>
                <w:sz w:val="24"/>
                <w:szCs w:val="24"/>
              </w:rPr>
            </w:pPr>
            <w:r w:rsidRPr="004472A9">
              <w:rPr>
                <w:rFonts w:asciiTheme="minorHAnsi" w:hAnsiTheme="minorHAnsi" w:cstheme="minorHAnsi"/>
                <w:sz w:val="24"/>
                <w:szCs w:val="24"/>
              </w:rPr>
              <w:t>15</w:t>
            </w:r>
          </w:p>
        </w:tc>
        <w:tc>
          <w:tcPr>
            <w:tcW w:w="483" w:type="pct"/>
            <w:noWrap/>
            <w:vAlign w:val="bottom"/>
          </w:tcPr>
          <w:p w14:paraId="36784267" w14:textId="5EF1C669" w:rsidR="00CC7699" w:rsidRPr="004472A9" w:rsidRDefault="0041017A" w:rsidP="004757BA">
            <w:pPr>
              <w:jc w:val="center"/>
              <w:rPr>
                <w:rFonts w:asciiTheme="minorHAnsi" w:hAnsiTheme="minorHAnsi" w:cstheme="minorHAnsi"/>
                <w:sz w:val="24"/>
                <w:szCs w:val="24"/>
              </w:rPr>
            </w:pPr>
            <w:r w:rsidRPr="004472A9">
              <w:rPr>
                <w:rFonts w:asciiTheme="minorHAnsi" w:hAnsiTheme="minorHAnsi" w:cstheme="minorHAnsi"/>
                <w:sz w:val="24"/>
                <w:szCs w:val="24"/>
              </w:rPr>
              <w:t>20</w:t>
            </w:r>
          </w:p>
        </w:tc>
        <w:tc>
          <w:tcPr>
            <w:tcW w:w="482" w:type="pct"/>
            <w:noWrap/>
            <w:vAlign w:val="bottom"/>
          </w:tcPr>
          <w:p w14:paraId="3E983CE3" w14:textId="4181B81D" w:rsidR="00CC7699" w:rsidRPr="004472A9" w:rsidRDefault="0041017A" w:rsidP="004757BA">
            <w:pPr>
              <w:jc w:val="center"/>
              <w:rPr>
                <w:rFonts w:asciiTheme="minorHAnsi" w:hAnsiTheme="minorHAnsi" w:cstheme="minorHAnsi"/>
                <w:sz w:val="24"/>
                <w:szCs w:val="24"/>
              </w:rPr>
            </w:pPr>
            <w:r w:rsidRPr="004472A9">
              <w:rPr>
                <w:rFonts w:asciiTheme="minorHAnsi" w:hAnsiTheme="minorHAnsi" w:cstheme="minorHAnsi"/>
                <w:sz w:val="24"/>
                <w:szCs w:val="24"/>
              </w:rPr>
              <w:t>20</w:t>
            </w:r>
          </w:p>
        </w:tc>
        <w:tc>
          <w:tcPr>
            <w:tcW w:w="482" w:type="pct"/>
          </w:tcPr>
          <w:p w14:paraId="7164B7A3" w14:textId="786C40FF" w:rsidR="00CC7699" w:rsidRPr="004472A9" w:rsidRDefault="0041017A" w:rsidP="004757BA">
            <w:pPr>
              <w:jc w:val="center"/>
              <w:rPr>
                <w:rFonts w:asciiTheme="minorHAnsi" w:hAnsiTheme="minorHAnsi" w:cstheme="minorHAnsi"/>
                <w:sz w:val="24"/>
                <w:szCs w:val="24"/>
              </w:rPr>
            </w:pPr>
            <w:r w:rsidRPr="004472A9">
              <w:rPr>
                <w:rFonts w:asciiTheme="minorHAnsi" w:hAnsiTheme="minorHAnsi" w:cstheme="minorHAnsi"/>
                <w:sz w:val="24"/>
                <w:szCs w:val="24"/>
              </w:rPr>
              <w:t>20</w:t>
            </w:r>
          </w:p>
        </w:tc>
        <w:tc>
          <w:tcPr>
            <w:tcW w:w="483" w:type="pct"/>
          </w:tcPr>
          <w:p w14:paraId="3FE5ECFD" w14:textId="6937DACB" w:rsidR="00CC7699" w:rsidRPr="004472A9" w:rsidRDefault="0041017A" w:rsidP="004757BA">
            <w:pPr>
              <w:jc w:val="center"/>
              <w:rPr>
                <w:rFonts w:asciiTheme="minorHAnsi" w:hAnsiTheme="minorHAnsi" w:cstheme="minorHAnsi"/>
                <w:sz w:val="24"/>
                <w:szCs w:val="24"/>
              </w:rPr>
            </w:pPr>
            <w:r w:rsidRPr="004472A9">
              <w:rPr>
                <w:rFonts w:asciiTheme="minorHAnsi" w:hAnsiTheme="minorHAnsi" w:cstheme="minorHAnsi"/>
                <w:sz w:val="24"/>
                <w:szCs w:val="24"/>
              </w:rPr>
              <w:t>20</w:t>
            </w:r>
          </w:p>
        </w:tc>
      </w:tr>
    </w:tbl>
    <w:p w14:paraId="00285243" w14:textId="7381D28F" w:rsidR="00321644" w:rsidRPr="00F864D8" w:rsidRDefault="00CC7699" w:rsidP="00F864D8">
      <w:pPr>
        <w:jc w:val="both"/>
        <w:rPr>
          <w:rFonts w:cstheme="minorHAnsi"/>
          <w:sz w:val="24"/>
          <w:szCs w:val="24"/>
        </w:rPr>
      </w:pPr>
      <w:r>
        <w:rPr>
          <w:rFonts w:cstheme="minorHAnsi"/>
          <w:sz w:val="24"/>
          <w:szCs w:val="24"/>
        </w:rPr>
        <w:t xml:space="preserve">Source: REMI (2019) and </w:t>
      </w:r>
      <w:proofErr w:type="spellStart"/>
      <w:r>
        <w:rPr>
          <w:rFonts w:cstheme="minorHAnsi"/>
          <w:sz w:val="24"/>
          <w:szCs w:val="24"/>
        </w:rPr>
        <w:t>Dragas</w:t>
      </w:r>
      <w:proofErr w:type="spellEnd"/>
      <w:r>
        <w:rPr>
          <w:rFonts w:cstheme="minorHAnsi"/>
          <w:sz w:val="24"/>
          <w:szCs w:val="24"/>
        </w:rPr>
        <w:t xml:space="preserve"> Center for Economic Analysis and Policy. Estimates for Gross Domestic Product, Output, Value Added, and Real Disposable Personal Income are in </w:t>
      </w:r>
      <w:proofErr w:type="gramStart"/>
      <w:r w:rsidR="00500E82">
        <w:rPr>
          <w:rFonts w:cstheme="minorHAnsi"/>
          <w:sz w:val="24"/>
          <w:szCs w:val="24"/>
        </w:rPr>
        <w:t>millions</w:t>
      </w:r>
      <w:proofErr w:type="gramEnd"/>
      <w:r w:rsidR="00500E82">
        <w:rPr>
          <w:rFonts w:cstheme="minorHAnsi"/>
          <w:sz w:val="24"/>
          <w:szCs w:val="24"/>
        </w:rPr>
        <w:t xml:space="preserve"> of</w:t>
      </w:r>
      <w:r>
        <w:rPr>
          <w:rFonts w:cstheme="minorHAnsi"/>
          <w:sz w:val="24"/>
          <w:szCs w:val="24"/>
        </w:rPr>
        <w:t xml:space="preserve"> 2012 dollars. Personal income and disposable personal income are in millions of nominal dollars. </w:t>
      </w:r>
      <w:proofErr w:type="spellStart"/>
      <w:r w:rsidR="00F864D8">
        <w:rPr>
          <w:rFonts w:cstheme="minorHAnsi"/>
          <w:sz w:val="24"/>
          <w:szCs w:val="24"/>
        </w:rPr>
        <w:t>Energix’s</w:t>
      </w:r>
      <w:proofErr w:type="spellEnd"/>
      <w:r w:rsidR="00F864D8">
        <w:rPr>
          <w:rFonts w:cstheme="minorHAnsi"/>
          <w:sz w:val="24"/>
          <w:szCs w:val="24"/>
        </w:rPr>
        <w:t xml:space="preserve"> employment is assumed to be in the utilities industry.</w:t>
      </w:r>
    </w:p>
    <w:sectPr w:rsidR="00321644" w:rsidRPr="00F864D8" w:rsidSect="00FC0325">
      <w:pgSz w:w="15840" w:h="12240" w:orient="landscape"/>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F8349" w14:textId="77777777" w:rsidR="00BC66B3" w:rsidRDefault="00BC66B3" w:rsidP="00047931">
      <w:pPr>
        <w:spacing w:after="0" w:line="240" w:lineRule="auto"/>
      </w:pPr>
      <w:r>
        <w:separator/>
      </w:r>
    </w:p>
  </w:endnote>
  <w:endnote w:type="continuationSeparator" w:id="0">
    <w:p w14:paraId="6A54F432" w14:textId="77777777" w:rsidR="00BC66B3" w:rsidRDefault="00BC66B3" w:rsidP="00047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17A7E" w14:textId="77777777" w:rsidR="00CF686D" w:rsidRDefault="00CF6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369307"/>
      <w:docPartObj>
        <w:docPartGallery w:val="Page Numbers (Bottom of Page)"/>
        <w:docPartUnique/>
      </w:docPartObj>
    </w:sdtPr>
    <w:sdtEndPr>
      <w:rPr>
        <w:noProof/>
      </w:rPr>
    </w:sdtEndPr>
    <w:sdtContent>
      <w:p w14:paraId="5D77F33B" w14:textId="695D60E4" w:rsidR="00CF686D" w:rsidRDefault="00CF68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8AA5EB" w14:textId="77777777" w:rsidR="00CF686D" w:rsidRDefault="00CF68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3BF7" w14:textId="77777777" w:rsidR="00CF686D" w:rsidRDefault="00CF6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2204D" w14:textId="77777777" w:rsidR="00BC66B3" w:rsidRDefault="00BC66B3" w:rsidP="00047931">
      <w:pPr>
        <w:spacing w:after="0" w:line="240" w:lineRule="auto"/>
      </w:pPr>
      <w:r>
        <w:separator/>
      </w:r>
    </w:p>
  </w:footnote>
  <w:footnote w:type="continuationSeparator" w:id="0">
    <w:p w14:paraId="22F105B2" w14:textId="77777777" w:rsidR="00BC66B3" w:rsidRDefault="00BC66B3" w:rsidP="00047931">
      <w:pPr>
        <w:spacing w:after="0" w:line="240" w:lineRule="auto"/>
      </w:pPr>
      <w:r>
        <w:continuationSeparator/>
      </w:r>
    </w:p>
  </w:footnote>
  <w:footnote w:id="1">
    <w:p w14:paraId="313CA833" w14:textId="2C4FB3B0" w:rsidR="00CF686D" w:rsidRDefault="00CF686D">
      <w:pPr>
        <w:pStyle w:val="FootnoteText"/>
      </w:pPr>
      <w:r>
        <w:rPr>
          <w:rStyle w:val="FootnoteReference"/>
        </w:rPr>
        <w:footnoteRef/>
      </w:r>
      <w:r>
        <w:t xml:space="preserve"> Market valuation is obtained from Yahoo Finance as of February 14, 2020.</w:t>
      </w:r>
    </w:p>
  </w:footnote>
  <w:footnote w:id="2">
    <w:p w14:paraId="4833D75B" w14:textId="7555D900" w:rsidR="00CF686D" w:rsidRDefault="00CF686D">
      <w:pPr>
        <w:pStyle w:val="FootnoteText"/>
      </w:pPr>
      <w:r>
        <w:rPr>
          <w:rStyle w:val="FootnoteReference"/>
        </w:rPr>
        <w:footnoteRef/>
      </w:r>
      <w:r>
        <w:t xml:space="preserve"> Energix Group (2019), Business Overview. Available at: </w:t>
      </w:r>
      <w:r w:rsidRPr="00047931">
        <w:t>http://www.energix-group.com/Business-Overview/</w:t>
      </w:r>
      <w:r>
        <w:t>.</w:t>
      </w:r>
    </w:p>
  </w:footnote>
  <w:footnote w:id="3">
    <w:p w14:paraId="3B70D88D" w14:textId="2C4875D8" w:rsidR="00CF686D" w:rsidRDefault="00CF686D">
      <w:pPr>
        <w:pStyle w:val="FootnoteText"/>
      </w:pPr>
      <w:r>
        <w:rPr>
          <w:rStyle w:val="FootnoteReference"/>
        </w:rPr>
        <w:footnoteRef/>
      </w:r>
      <w:r>
        <w:t xml:space="preserve"> For simplicity, we refer to Energix Renewable Energies Ltd., Energix US LLC, Caden Energix, and the various Caden Energix LLCs formed for specific projects as Energix. Energix is the sole managing partner in Caden Energix and the project specific Caden Energix LLCs.</w:t>
      </w:r>
    </w:p>
  </w:footnote>
  <w:footnote w:id="4">
    <w:p w14:paraId="71490D19" w14:textId="6B94032A" w:rsidR="00CF686D" w:rsidRDefault="00CF686D">
      <w:pPr>
        <w:pStyle w:val="FootnoteText"/>
      </w:pPr>
      <w:r>
        <w:rPr>
          <w:rStyle w:val="FootnoteReference"/>
        </w:rPr>
        <w:footnoteRef/>
      </w:r>
      <w:r>
        <w:t xml:space="preserve"> We obtain the total economic impact multiplier for the solar electric power generation industry (NAICS 221114) from JOBSEQ. Economic output includes the value added of an industry to final output (Gross Domestic Product) and its output of intermediate inputs that are used in other industries in the production of final output. The total economic impact multiplier includes the direct, indirect, and induced multipliers.</w:t>
      </w:r>
    </w:p>
  </w:footnote>
  <w:footnote w:id="5">
    <w:p w14:paraId="36E6CB88" w14:textId="77777777" w:rsidR="00CF686D" w:rsidRPr="003D3571" w:rsidRDefault="00CF686D" w:rsidP="00263471">
      <w:pPr>
        <w:spacing w:after="0" w:line="240" w:lineRule="auto"/>
        <w:jc w:val="both"/>
        <w:rPr>
          <w:sz w:val="24"/>
          <w:szCs w:val="24"/>
        </w:rPr>
      </w:pPr>
      <w:r w:rsidRPr="006C2722">
        <w:rPr>
          <w:rStyle w:val="FootnoteReference"/>
          <w:sz w:val="20"/>
          <w:szCs w:val="20"/>
        </w:rPr>
        <w:footnoteRef/>
      </w:r>
      <w:r w:rsidRPr="006C2722">
        <w:rPr>
          <w:sz w:val="20"/>
          <w:szCs w:val="20"/>
        </w:rPr>
        <w:t xml:space="preserve"> United States Energy Information Agency, Monthly Energy Report, October 2019</w:t>
      </w:r>
      <w:r>
        <w:rPr>
          <w:sz w:val="20"/>
          <w:szCs w:val="20"/>
        </w:rPr>
        <w:t>.</w:t>
      </w:r>
    </w:p>
  </w:footnote>
  <w:footnote w:id="6">
    <w:p w14:paraId="34A054A1" w14:textId="782956BE" w:rsidR="00CF686D" w:rsidRPr="006C2722" w:rsidRDefault="00CF686D">
      <w:pPr>
        <w:pStyle w:val="FootnoteText"/>
      </w:pPr>
      <w:r w:rsidRPr="006C2722">
        <w:rPr>
          <w:rStyle w:val="FootnoteReference"/>
        </w:rPr>
        <w:footnoteRef/>
      </w:r>
      <w:r w:rsidRPr="006C2722">
        <w:t xml:space="preserve"> United States Energy Information Agency, 2011 Energy Outlook.</w:t>
      </w:r>
    </w:p>
  </w:footnote>
  <w:footnote w:id="7">
    <w:p w14:paraId="270C337F" w14:textId="6121AA5E" w:rsidR="00CF686D" w:rsidRDefault="00CF686D" w:rsidP="006C2722">
      <w:pPr>
        <w:pStyle w:val="FootnoteText"/>
      </w:pPr>
      <w:r>
        <w:rPr>
          <w:rStyle w:val="FootnoteReference"/>
        </w:rPr>
        <w:footnoteRef/>
      </w:r>
      <w:r>
        <w:t xml:space="preserve"> United States Energy Information Agency, Annual Energy Outlook, 2019.</w:t>
      </w:r>
    </w:p>
  </w:footnote>
  <w:footnote w:id="8">
    <w:p w14:paraId="33D54B9A" w14:textId="3113E57D" w:rsidR="00CF686D" w:rsidRDefault="00CF686D" w:rsidP="006C2722">
      <w:pPr>
        <w:pStyle w:val="FootnoteText"/>
      </w:pPr>
      <w:r>
        <w:rPr>
          <w:rStyle w:val="FootnoteReference"/>
        </w:rPr>
        <w:footnoteRef/>
      </w:r>
      <w:r>
        <w:t xml:space="preserve"> While an oft-quoted statistic is that 70% of the world’s internet traffic flows through Northern Virginia, this estimate is disputed (</w:t>
      </w:r>
      <w:hyperlink r:id="rId1" w:history="1">
        <w:r>
          <w:rPr>
            <w:rStyle w:val="Hyperlink"/>
          </w:rPr>
          <w:t>https://blog.telegeography.com/does-70-of-the-worlds-internet-traffic-flow-through-virginia</w:t>
        </w:r>
      </w:hyperlink>
      <w:r>
        <w:t>). The percentage of cloud service providers can be more accurately estimated.</w:t>
      </w:r>
    </w:p>
  </w:footnote>
  <w:footnote w:id="9">
    <w:p w14:paraId="64260103" w14:textId="77777777" w:rsidR="00CF686D" w:rsidRDefault="00CF686D" w:rsidP="001A5426">
      <w:pPr>
        <w:pStyle w:val="FootnoteText"/>
      </w:pPr>
      <w:r>
        <w:rPr>
          <w:rStyle w:val="FootnoteReference"/>
        </w:rPr>
        <w:footnoteRef/>
      </w:r>
      <w:r>
        <w:t xml:space="preserve"> Energix Renewable Energies Ltd., “Periodic Report for 2018”, </w:t>
      </w:r>
      <w:r w:rsidRPr="00907B3F">
        <w:t>http://www.energix-group.com/Financial-Reports</w:t>
      </w:r>
      <w:r>
        <w:t>.</w:t>
      </w:r>
    </w:p>
  </w:footnote>
  <w:footnote w:id="10">
    <w:p w14:paraId="1CBA9446" w14:textId="77777777" w:rsidR="00CF686D" w:rsidRDefault="00CF686D" w:rsidP="007B5A90">
      <w:pPr>
        <w:pStyle w:val="FootnoteText"/>
      </w:pPr>
      <w:r>
        <w:rPr>
          <w:rStyle w:val="FootnoteReference"/>
        </w:rPr>
        <w:footnoteRef/>
      </w:r>
      <w:r>
        <w:t xml:space="preserve"> County of Appomattox, Staff Report, Caden Energix Sprout Spring, February 2019, </w:t>
      </w:r>
    </w:p>
  </w:footnote>
  <w:footnote w:id="11">
    <w:p w14:paraId="3CD6FDF9" w14:textId="77777777" w:rsidR="00CF686D" w:rsidRDefault="00CF686D" w:rsidP="007B5A90">
      <w:pPr>
        <w:pStyle w:val="FootnoteText"/>
      </w:pPr>
      <w:r>
        <w:rPr>
          <w:rStyle w:val="FootnoteReference"/>
        </w:rPr>
        <w:footnoteRef/>
      </w:r>
      <w:r>
        <w:t xml:space="preserve"> Sarah Honosky, “</w:t>
      </w:r>
      <w:r w:rsidRPr="001F4DA9">
        <w:t>Campbell supervisors OK county's third solar farm project</w:t>
      </w:r>
      <w:r>
        <w:t>,” Roanoke News Advance, November 7, 2019.</w:t>
      </w:r>
    </w:p>
  </w:footnote>
  <w:footnote w:id="12">
    <w:p w14:paraId="1EDA0A4F" w14:textId="77777777" w:rsidR="00CF686D" w:rsidRDefault="00CF686D" w:rsidP="007B5A90">
      <w:pPr>
        <w:pStyle w:val="FootnoteText"/>
      </w:pPr>
      <w:r>
        <w:rPr>
          <w:rStyle w:val="FootnoteReference"/>
        </w:rPr>
        <w:footnoteRef/>
      </w:r>
      <w:r>
        <w:t xml:space="preserve"> Victoria Bourne, “</w:t>
      </w:r>
      <w:r w:rsidRPr="001F4DA9">
        <w:t>Chesapeake narrowly approves $40 million plan for first solar farm</w:t>
      </w:r>
      <w:r>
        <w:t>,” Virginian Pilot, February 14, 2018.</w:t>
      </w:r>
    </w:p>
  </w:footnote>
  <w:footnote w:id="13">
    <w:p w14:paraId="2DCA2BCD" w14:textId="77777777" w:rsidR="00CF686D" w:rsidRDefault="00CF686D" w:rsidP="007B5A90">
      <w:pPr>
        <w:pStyle w:val="FootnoteText"/>
      </w:pPr>
      <w:r>
        <w:rPr>
          <w:rStyle w:val="FootnoteReference"/>
        </w:rPr>
        <w:footnoteRef/>
      </w:r>
      <w:r>
        <w:t xml:space="preserve"> Caleb Ayers, “</w:t>
      </w:r>
      <w:r w:rsidRPr="001F4DA9">
        <w:t>Another solar farm project advances in Pittsylvania County</w:t>
      </w:r>
      <w:r>
        <w:t>”, Danville Register &amp; Bee, November 7, 2019.</w:t>
      </w:r>
    </w:p>
  </w:footnote>
  <w:footnote w:id="14">
    <w:p w14:paraId="443F7EE8" w14:textId="77777777" w:rsidR="00CF686D" w:rsidRDefault="00CF686D" w:rsidP="009F460F">
      <w:pPr>
        <w:pStyle w:val="FootnoteText"/>
      </w:pPr>
      <w:r>
        <w:rPr>
          <w:rStyle w:val="FootnoteReference"/>
        </w:rPr>
        <w:footnoteRef/>
      </w:r>
      <w:r>
        <w:t xml:space="preserve"> U.S. Bureau of Labor Statistics, Occupational Employment Statistics, 2019.</w:t>
      </w:r>
    </w:p>
  </w:footnote>
  <w:footnote w:id="15">
    <w:p w14:paraId="5817907D" w14:textId="1B3319D1" w:rsidR="00CF686D" w:rsidRDefault="00CF686D">
      <w:pPr>
        <w:pStyle w:val="FootnoteText"/>
      </w:pPr>
      <w:r>
        <w:rPr>
          <w:rStyle w:val="FootnoteReference"/>
        </w:rPr>
        <w:footnoteRef/>
      </w:r>
      <w:r>
        <w:t xml:space="preserve"> Executive Order No. 43, Expanding Access to Clean Energy and Growing the Clean Energy Jobs of the Future, September 16, 2019. </w:t>
      </w:r>
    </w:p>
  </w:footnote>
  <w:footnote w:id="16">
    <w:p w14:paraId="2FCAE6C1" w14:textId="1DBA3E04" w:rsidR="00CF686D" w:rsidRDefault="00CF686D">
      <w:pPr>
        <w:pStyle w:val="FootnoteText"/>
      </w:pPr>
      <w:r>
        <w:rPr>
          <w:rStyle w:val="FootnoteReference"/>
        </w:rPr>
        <w:footnoteRef/>
      </w:r>
      <w:r>
        <w:t xml:space="preserve"> Mel Leonor, “Northam lays out renewable energy goals for Virginia, calls for carbon-free electricity by 2050”, Richmond Times Dispatch, September 17, 2019. </w:t>
      </w:r>
    </w:p>
  </w:footnote>
  <w:footnote w:id="17">
    <w:p w14:paraId="455DDA39" w14:textId="32FCF7CA" w:rsidR="00CF686D" w:rsidRDefault="00CF686D">
      <w:pPr>
        <w:pStyle w:val="FootnoteText"/>
      </w:pPr>
      <w:r>
        <w:rPr>
          <w:rStyle w:val="FootnoteReference"/>
        </w:rPr>
        <w:footnoteRef/>
      </w:r>
      <w:r>
        <w:t xml:space="preserve"> Static estimates of the total economic impact are available upon request.</w:t>
      </w:r>
    </w:p>
  </w:footnote>
  <w:footnote w:id="18">
    <w:p w14:paraId="1B2036DD" w14:textId="699099E2" w:rsidR="00CF686D" w:rsidRDefault="00CF686D">
      <w:pPr>
        <w:pStyle w:val="FootnoteText"/>
      </w:pPr>
      <w:r>
        <w:rPr>
          <w:rStyle w:val="FootnoteReference"/>
        </w:rPr>
        <w:footnoteRef/>
      </w:r>
      <w:r>
        <w:t xml:space="preserve"> Exogenous industrial production is equivalent to the increase in output that is outside the model. In other words, the operating expenditures are an injection of new spending from outside of Virginia and thus are not created by spending within the model.</w:t>
      </w:r>
    </w:p>
  </w:footnote>
  <w:footnote w:id="19">
    <w:p w14:paraId="29E15A39" w14:textId="53625FF4" w:rsidR="00CF686D" w:rsidRDefault="00CF686D">
      <w:pPr>
        <w:pStyle w:val="FootnoteText"/>
      </w:pPr>
      <w:r>
        <w:rPr>
          <w:rStyle w:val="FootnoteReference"/>
        </w:rPr>
        <w:footnoteRef/>
      </w:r>
      <w:r>
        <w:t xml:space="preserve"> A simplifying assumption is that operating expenditures are equal to three percent of investment spending. We inflate operating expenditures at two percent a year to capture the impact of inflation.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BD7B1" w14:textId="77777777" w:rsidR="00CF686D" w:rsidRDefault="00CF6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E9701" w14:textId="635C60E7" w:rsidR="00CF686D" w:rsidRDefault="00CF68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A9A8F" w14:textId="77777777" w:rsidR="00CF686D" w:rsidRDefault="00CF6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7AF"/>
    <w:multiLevelType w:val="hybridMultilevel"/>
    <w:tmpl w:val="7AA0A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C72325"/>
    <w:multiLevelType w:val="hybridMultilevel"/>
    <w:tmpl w:val="10E457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D722E7"/>
    <w:multiLevelType w:val="hybridMultilevel"/>
    <w:tmpl w:val="BBEE2F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18"/>
    <w:rsid w:val="000026DD"/>
    <w:rsid w:val="00012142"/>
    <w:rsid w:val="00022DD1"/>
    <w:rsid w:val="0002308E"/>
    <w:rsid w:val="00026EFC"/>
    <w:rsid w:val="00036690"/>
    <w:rsid w:val="0003780E"/>
    <w:rsid w:val="000467AE"/>
    <w:rsid w:val="00047931"/>
    <w:rsid w:val="00047BEA"/>
    <w:rsid w:val="000614D7"/>
    <w:rsid w:val="00061875"/>
    <w:rsid w:val="0006513A"/>
    <w:rsid w:val="000A2066"/>
    <w:rsid w:val="000C4F0F"/>
    <w:rsid w:val="000D2B1B"/>
    <w:rsid w:val="000E2D33"/>
    <w:rsid w:val="00110E5E"/>
    <w:rsid w:val="0011713F"/>
    <w:rsid w:val="00122B69"/>
    <w:rsid w:val="00125762"/>
    <w:rsid w:val="0014417E"/>
    <w:rsid w:val="0015060C"/>
    <w:rsid w:val="0018280D"/>
    <w:rsid w:val="001930F5"/>
    <w:rsid w:val="001A5426"/>
    <w:rsid w:val="001D48B3"/>
    <w:rsid w:val="001D78F2"/>
    <w:rsid w:val="001E5A0C"/>
    <w:rsid w:val="001E6CD0"/>
    <w:rsid w:val="001F317B"/>
    <w:rsid w:val="001F4DA9"/>
    <w:rsid w:val="001F5ECB"/>
    <w:rsid w:val="00217675"/>
    <w:rsid w:val="00220EB2"/>
    <w:rsid w:val="0023186A"/>
    <w:rsid w:val="00250A17"/>
    <w:rsid w:val="002610A9"/>
    <w:rsid w:val="00263471"/>
    <w:rsid w:val="00266F17"/>
    <w:rsid w:val="00273006"/>
    <w:rsid w:val="00275741"/>
    <w:rsid w:val="002838F8"/>
    <w:rsid w:val="00287657"/>
    <w:rsid w:val="002A3E13"/>
    <w:rsid w:val="002A4021"/>
    <w:rsid w:val="002A4BB6"/>
    <w:rsid w:val="002A738D"/>
    <w:rsid w:val="002B1BB4"/>
    <w:rsid w:val="002C0E0F"/>
    <w:rsid w:val="002C7DF0"/>
    <w:rsid w:val="002D67EC"/>
    <w:rsid w:val="002F554E"/>
    <w:rsid w:val="002F66A5"/>
    <w:rsid w:val="00316456"/>
    <w:rsid w:val="00321644"/>
    <w:rsid w:val="0035589F"/>
    <w:rsid w:val="00356F91"/>
    <w:rsid w:val="00367357"/>
    <w:rsid w:val="00367B4B"/>
    <w:rsid w:val="00371146"/>
    <w:rsid w:val="00384C62"/>
    <w:rsid w:val="0038640F"/>
    <w:rsid w:val="00386E7F"/>
    <w:rsid w:val="00391E15"/>
    <w:rsid w:val="003938F0"/>
    <w:rsid w:val="00396C50"/>
    <w:rsid w:val="003A24D7"/>
    <w:rsid w:val="003B5BE5"/>
    <w:rsid w:val="003B7524"/>
    <w:rsid w:val="003D3571"/>
    <w:rsid w:val="003E0C32"/>
    <w:rsid w:val="003E6B6E"/>
    <w:rsid w:val="003F5825"/>
    <w:rsid w:val="00402BB3"/>
    <w:rsid w:val="0041017A"/>
    <w:rsid w:val="00413D7C"/>
    <w:rsid w:val="00427961"/>
    <w:rsid w:val="00433899"/>
    <w:rsid w:val="00441D9F"/>
    <w:rsid w:val="00442CE8"/>
    <w:rsid w:val="004472A9"/>
    <w:rsid w:val="00455635"/>
    <w:rsid w:val="00463BBF"/>
    <w:rsid w:val="004757BA"/>
    <w:rsid w:val="004B1981"/>
    <w:rsid w:val="004C4E49"/>
    <w:rsid w:val="004C6954"/>
    <w:rsid w:val="004D34DA"/>
    <w:rsid w:val="004E5710"/>
    <w:rsid w:val="00500E82"/>
    <w:rsid w:val="00505C6F"/>
    <w:rsid w:val="00527EE7"/>
    <w:rsid w:val="00533B8C"/>
    <w:rsid w:val="0054420D"/>
    <w:rsid w:val="00553765"/>
    <w:rsid w:val="005546C1"/>
    <w:rsid w:val="00561E77"/>
    <w:rsid w:val="00583F58"/>
    <w:rsid w:val="005A3DD6"/>
    <w:rsid w:val="005A7AF6"/>
    <w:rsid w:val="005D639C"/>
    <w:rsid w:val="005E1DA7"/>
    <w:rsid w:val="005E61B2"/>
    <w:rsid w:val="005F145F"/>
    <w:rsid w:val="00602E43"/>
    <w:rsid w:val="006035C8"/>
    <w:rsid w:val="00606ACC"/>
    <w:rsid w:val="00610AE9"/>
    <w:rsid w:val="00623493"/>
    <w:rsid w:val="00624B58"/>
    <w:rsid w:val="00640E8A"/>
    <w:rsid w:val="00654A0A"/>
    <w:rsid w:val="00667CDC"/>
    <w:rsid w:val="006757B5"/>
    <w:rsid w:val="00695230"/>
    <w:rsid w:val="006C2722"/>
    <w:rsid w:val="006F0F3A"/>
    <w:rsid w:val="006F2D0F"/>
    <w:rsid w:val="00705811"/>
    <w:rsid w:val="0070669C"/>
    <w:rsid w:val="00741651"/>
    <w:rsid w:val="00742EF2"/>
    <w:rsid w:val="00746D1B"/>
    <w:rsid w:val="00767C24"/>
    <w:rsid w:val="00776000"/>
    <w:rsid w:val="007769CA"/>
    <w:rsid w:val="00783239"/>
    <w:rsid w:val="007868CA"/>
    <w:rsid w:val="00797B9F"/>
    <w:rsid w:val="007B5A90"/>
    <w:rsid w:val="007B7D61"/>
    <w:rsid w:val="007C2D52"/>
    <w:rsid w:val="007E0C61"/>
    <w:rsid w:val="007F61A4"/>
    <w:rsid w:val="00801996"/>
    <w:rsid w:val="00803F36"/>
    <w:rsid w:val="00811889"/>
    <w:rsid w:val="0083220E"/>
    <w:rsid w:val="00832846"/>
    <w:rsid w:val="008578FF"/>
    <w:rsid w:val="0086799F"/>
    <w:rsid w:val="00872CBB"/>
    <w:rsid w:val="0087300C"/>
    <w:rsid w:val="008A3834"/>
    <w:rsid w:val="008B6CE5"/>
    <w:rsid w:val="008D7E5E"/>
    <w:rsid w:val="008F5675"/>
    <w:rsid w:val="0090195B"/>
    <w:rsid w:val="00903E22"/>
    <w:rsid w:val="00903F1C"/>
    <w:rsid w:val="00907B3F"/>
    <w:rsid w:val="00915152"/>
    <w:rsid w:val="009379F1"/>
    <w:rsid w:val="00942C93"/>
    <w:rsid w:val="009531DD"/>
    <w:rsid w:val="009638C7"/>
    <w:rsid w:val="00965B47"/>
    <w:rsid w:val="00967BC1"/>
    <w:rsid w:val="009732FF"/>
    <w:rsid w:val="009739E5"/>
    <w:rsid w:val="00996EB9"/>
    <w:rsid w:val="009B31F6"/>
    <w:rsid w:val="009D38F6"/>
    <w:rsid w:val="009F0FE5"/>
    <w:rsid w:val="009F2DC0"/>
    <w:rsid w:val="009F460F"/>
    <w:rsid w:val="00A00A07"/>
    <w:rsid w:val="00A076B7"/>
    <w:rsid w:val="00A11477"/>
    <w:rsid w:val="00A47595"/>
    <w:rsid w:val="00A616D1"/>
    <w:rsid w:val="00A7373F"/>
    <w:rsid w:val="00A74779"/>
    <w:rsid w:val="00A90648"/>
    <w:rsid w:val="00AA3BFE"/>
    <w:rsid w:val="00AC2066"/>
    <w:rsid w:val="00AD3FCB"/>
    <w:rsid w:val="00AF1788"/>
    <w:rsid w:val="00B1428E"/>
    <w:rsid w:val="00B37CE0"/>
    <w:rsid w:val="00B52ED6"/>
    <w:rsid w:val="00B71D89"/>
    <w:rsid w:val="00B819B4"/>
    <w:rsid w:val="00B8404C"/>
    <w:rsid w:val="00B90C46"/>
    <w:rsid w:val="00B929AA"/>
    <w:rsid w:val="00B95EBF"/>
    <w:rsid w:val="00BB5D84"/>
    <w:rsid w:val="00BC16E6"/>
    <w:rsid w:val="00BC3AE6"/>
    <w:rsid w:val="00BC66B3"/>
    <w:rsid w:val="00BE7604"/>
    <w:rsid w:val="00BF218D"/>
    <w:rsid w:val="00C07D91"/>
    <w:rsid w:val="00C26341"/>
    <w:rsid w:val="00C45E33"/>
    <w:rsid w:val="00C5007F"/>
    <w:rsid w:val="00C66A55"/>
    <w:rsid w:val="00C70976"/>
    <w:rsid w:val="00C81CB3"/>
    <w:rsid w:val="00C838C3"/>
    <w:rsid w:val="00C93120"/>
    <w:rsid w:val="00C94EB8"/>
    <w:rsid w:val="00C96D59"/>
    <w:rsid w:val="00CA12E3"/>
    <w:rsid w:val="00CB634A"/>
    <w:rsid w:val="00CC7699"/>
    <w:rsid w:val="00CE666F"/>
    <w:rsid w:val="00CE7F5D"/>
    <w:rsid w:val="00CF4D72"/>
    <w:rsid w:val="00CF686D"/>
    <w:rsid w:val="00D0077B"/>
    <w:rsid w:val="00D10BC8"/>
    <w:rsid w:val="00D1381D"/>
    <w:rsid w:val="00D2078B"/>
    <w:rsid w:val="00D24520"/>
    <w:rsid w:val="00D332CB"/>
    <w:rsid w:val="00D34802"/>
    <w:rsid w:val="00D42C51"/>
    <w:rsid w:val="00D53048"/>
    <w:rsid w:val="00D54320"/>
    <w:rsid w:val="00D719A0"/>
    <w:rsid w:val="00D72E64"/>
    <w:rsid w:val="00D77284"/>
    <w:rsid w:val="00D80AC5"/>
    <w:rsid w:val="00DA2E42"/>
    <w:rsid w:val="00DC2C0D"/>
    <w:rsid w:val="00DC70B0"/>
    <w:rsid w:val="00DD03D1"/>
    <w:rsid w:val="00DD4323"/>
    <w:rsid w:val="00E25FAE"/>
    <w:rsid w:val="00E67E05"/>
    <w:rsid w:val="00ED4F96"/>
    <w:rsid w:val="00F04BBB"/>
    <w:rsid w:val="00F17C7F"/>
    <w:rsid w:val="00F22691"/>
    <w:rsid w:val="00F44E30"/>
    <w:rsid w:val="00F52978"/>
    <w:rsid w:val="00F54218"/>
    <w:rsid w:val="00F864D8"/>
    <w:rsid w:val="00F933D7"/>
    <w:rsid w:val="00F9528E"/>
    <w:rsid w:val="00FB0B5D"/>
    <w:rsid w:val="00FC0325"/>
    <w:rsid w:val="00FC2CC8"/>
    <w:rsid w:val="00FC651B"/>
    <w:rsid w:val="00FC6FB8"/>
    <w:rsid w:val="00FD00E4"/>
    <w:rsid w:val="00FD497C"/>
    <w:rsid w:val="00F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ED255"/>
  <w15:chartTrackingRefBased/>
  <w15:docId w15:val="{4ED33B93-4FF0-42D1-BDD7-7298F497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54218"/>
  </w:style>
  <w:style w:type="paragraph" w:styleId="ListParagraph">
    <w:name w:val="List Paragraph"/>
    <w:basedOn w:val="Normal"/>
    <w:uiPriority w:val="34"/>
    <w:qFormat/>
    <w:rsid w:val="00C94EB8"/>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39"/>
    <w:rsid w:val="0032164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479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7931"/>
    <w:rPr>
      <w:sz w:val="20"/>
      <w:szCs w:val="20"/>
    </w:rPr>
  </w:style>
  <w:style w:type="character" w:styleId="FootnoteReference">
    <w:name w:val="footnote reference"/>
    <w:basedOn w:val="DefaultParagraphFont"/>
    <w:uiPriority w:val="99"/>
    <w:semiHidden/>
    <w:unhideWhenUsed/>
    <w:rsid w:val="00047931"/>
    <w:rPr>
      <w:vertAlign w:val="superscript"/>
    </w:rPr>
  </w:style>
  <w:style w:type="paragraph" w:styleId="BalloonText">
    <w:name w:val="Balloon Text"/>
    <w:basedOn w:val="Normal"/>
    <w:link w:val="BalloonTextChar"/>
    <w:uiPriority w:val="99"/>
    <w:semiHidden/>
    <w:unhideWhenUsed/>
    <w:rsid w:val="009F2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DC0"/>
    <w:rPr>
      <w:rFonts w:ascii="Segoe UI" w:hAnsi="Segoe UI" w:cs="Segoe UI"/>
      <w:sz w:val="18"/>
      <w:szCs w:val="18"/>
    </w:rPr>
  </w:style>
  <w:style w:type="character" w:styleId="Hyperlink">
    <w:name w:val="Hyperlink"/>
    <w:basedOn w:val="DefaultParagraphFont"/>
    <w:uiPriority w:val="99"/>
    <w:unhideWhenUsed/>
    <w:rsid w:val="00061875"/>
    <w:rPr>
      <w:color w:val="0000FF"/>
      <w:u w:val="single"/>
    </w:rPr>
  </w:style>
  <w:style w:type="paragraph" w:styleId="Header">
    <w:name w:val="header"/>
    <w:basedOn w:val="Normal"/>
    <w:link w:val="HeaderChar"/>
    <w:uiPriority w:val="99"/>
    <w:unhideWhenUsed/>
    <w:rsid w:val="001A5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426"/>
  </w:style>
  <w:style w:type="paragraph" w:styleId="Footer">
    <w:name w:val="footer"/>
    <w:basedOn w:val="Normal"/>
    <w:link w:val="FooterChar"/>
    <w:uiPriority w:val="99"/>
    <w:unhideWhenUsed/>
    <w:rsid w:val="001A5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426"/>
  </w:style>
  <w:style w:type="paragraph" w:styleId="NoSpacing">
    <w:name w:val="No Spacing"/>
    <w:link w:val="NoSpacingChar"/>
    <w:uiPriority w:val="1"/>
    <w:qFormat/>
    <w:rsid w:val="00B95EBF"/>
    <w:pPr>
      <w:spacing w:after="0" w:line="240" w:lineRule="auto"/>
    </w:pPr>
    <w:rPr>
      <w:rFonts w:eastAsiaTheme="minorEastAsia"/>
    </w:rPr>
  </w:style>
  <w:style w:type="character" w:customStyle="1" w:styleId="NoSpacingChar">
    <w:name w:val="No Spacing Char"/>
    <w:basedOn w:val="DefaultParagraphFont"/>
    <w:link w:val="NoSpacing"/>
    <w:uiPriority w:val="1"/>
    <w:rsid w:val="00B95EBF"/>
    <w:rPr>
      <w:rFonts w:eastAsiaTheme="minorEastAsia"/>
    </w:rPr>
  </w:style>
  <w:style w:type="character" w:styleId="UnresolvedMention">
    <w:name w:val="Unresolved Mention"/>
    <w:basedOn w:val="DefaultParagraphFont"/>
    <w:uiPriority w:val="99"/>
    <w:semiHidden/>
    <w:unhideWhenUsed/>
    <w:rsid w:val="00D20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90016">
      <w:bodyDiv w:val="1"/>
      <w:marLeft w:val="0"/>
      <w:marRight w:val="0"/>
      <w:marTop w:val="0"/>
      <w:marBottom w:val="0"/>
      <w:divBdr>
        <w:top w:val="none" w:sz="0" w:space="0" w:color="auto"/>
        <w:left w:val="none" w:sz="0" w:space="0" w:color="auto"/>
        <w:bottom w:val="none" w:sz="0" w:space="0" w:color="auto"/>
        <w:right w:val="none" w:sz="0" w:space="0" w:color="auto"/>
      </w:divBdr>
    </w:div>
    <w:div w:id="127557789">
      <w:bodyDiv w:val="1"/>
      <w:marLeft w:val="0"/>
      <w:marRight w:val="0"/>
      <w:marTop w:val="0"/>
      <w:marBottom w:val="0"/>
      <w:divBdr>
        <w:top w:val="none" w:sz="0" w:space="0" w:color="auto"/>
        <w:left w:val="none" w:sz="0" w:space="0" w:color="auto"/>
        <w:bottom w:val="none" w:sz="0" w:space="0" w:color="auto"/>
        <w:right w:val="none" w:sz="0" w:space="0" w:color="auto"/>
      </w:divBdr>
    </w:div>
    <w:div w:id="167715892">
      <w:bodyDiv w:val="1"/>
      <w:marLeft w:val="0"/>
      <w:marRight w:val="0"/>
      <w:marTop w:val="0"/>
      <w:marBottom w:val="0"/>
      <w:divBdr>
        <w:top w:val="none" w:sz="0" w:space="0" w:color="auto"/>
        <w:left w:val="none" w:sz="0" w:space="0" w:color="auto"/>
        <w:bottom w:val="none" w:sz="0" w:space="0" w:color="auto"/>
        <w:right w:val="none" w:sz="0" w:space="0" w:color="auto"/>
      </w:divBdr>
    </w:div>
    <w:div w:id="394158366">
      <w:bodyDiv w:val="1"/>
      <w:marLeft w:val="0"/>
      <w:marRight w:val="0"/>
      <w:marTop w:val="0"/>
      <w:marBottom w:val="0"/>
      <w:divBdr>
        <w:top w:val="none" w:sz="0" w:space="0" w:color="auto"/>
        <w:left w:val="none" w:sz="0" w:space="0" w:color="auto"/>
        <w:bottom w:val="none" w:sz="0" w:space="0" w:color="auto"/>
        <w:right w:val="none" w:sz="0" w:space="0" w:color="auto"/>
      </w:divBdr>
    </w:div>
    <w:div w:id="559752265">
      <w:bodyDiv w:val="1"/>
      <w:marLeft w:val="0"/>
      <w:marRight w:val="0"/>
      <w:marTop w:val="0"/>
      <w:marBottom w:val="0"/>
      <w:divBdr>
        <w:top w:val="none" w:sz="0" w:space="0" w:color="auto"/>
        <w:left w:val="none" w:sz="0" w:space="0" w:color="auto"/>
        <w:bottom w:val="none" w:sz="0" w:space="0" w:color="auto"/>
        <w:right w:val="none" w:sz="0" w:space="0" w:color="auto"/>
      </w:divBdr>
    </w:div>
    <w:div w:id="677346771">
      <w:bodyDiv w:val="1"/>
      <w:marLeft w:val="0"/>
      <w:marRight w:val="0"/>
      <w:marTop w:val="0"/>
      <w:marBottom w:val="0"/>
      <w:divBdr>
        <w:top w:val="none" w:sz="0" w:space="0" w:color="auto"/>
        <w:left w:val="none" w:sz="0" w:space="0" w:color="auto"/>
        <w:bottom w:val="none" w:sz="0" w:space="0" w:color="auto"/>
        <w:right w:val="none" w:sz="0" w:space="0" w:color="auto"/>
      </w:divBdr>
    </w:div>
    <w:div w:id="933048482">
      <w:bodyDiv w:val="1"/>
      <w:marLeft w:val="0"/>
      <w:marRight w:val="0"/>
      <w:marTop w:val="0"/>
      <w:marBottom w:val="0"/>
      <w:divBdr>
        <w:top w:val="none" w:sz="0" w:space="0" w:color="auto"/>
        <w:left w:val="none" w:sz="0" w:space="0" w:color="auto"/>
        <w:bottom w:val="none" w:sz="0" w:space="0" w:color="auto"/>
        <w:right w:val="none" w:sz="0" w:space="0" w:color="auto"/>
      </w:divBdr>
    </w:div>
    <w:div w:id="955870942">
      <w:bodyDiv w:val="1"/>
      <w:marLeft w:val="0"/>
      <w:marRight w:val="0"/>
      <w:marTop w:val="0"/>
      <w:marBottom w:val="0"/>
      <w:divBdr>
        <w:top w:val="none" w:sz="0" w:space="0" w:color="auto"/>
        <w:left w:val="none" w:sz="0" w:space="0" w:color="auto"/>
        <w:bottom w:val="none" w:sz="0" w:space="0" w:color="auto"/>
        <w:right w:val="none" w:sz="0" w:space="0" w:color="auto"/>
      </w:divBdr>
    </w:div>
    <w:div w:id="994453348">
      <w:bodyDiv w:val="1"/>
      <w:marLeft w:val="0"/>
      <w:marRight w:val="0"/>
      <w:marTop w:val="0"/>
      <w:marBottom w:val="0"/>
      <w:divBdr>
        <w:top w:val="none" w:sz="0" w:space="0" w:color="auto"/>
        <w:left w:val="none" w:sz="0" w:space="0" w:color="auto"/>
        <w:bottom w:val="none" w:sz="0" w:space="0" w:color="auto"/>
        <w:right w:val="none" w:sz="0" w:space="0" w:color="auto"/>
      </w:divBdr>
    </w:div>
    <w:div w:id="1067873661">
      <w:bodyDiv w:val="1"/>
      <w:marLeft w:val="0"/>
      <w:marRight w:val="0"/>
      <w:marTop w:val="0"/>
      <w:marBottom w:val="0"/>
      <w:divBdr>
        <w:top w:val="none" w:sz="0" w:space="0" w:color="auto"/>
        <w:left w:val="none" w:sz="0" w:space="0" w:color="auto"/>
        <w:bottom w:val="none" w:sz="0" w:space="0" w:color="auto"/>
        <w:right w:val="none" w:sz="0" w:space="0" w:color="auto"/>
      </w:divBdr>
    </w:div>
    <w:div w:id="1221599663">
      <w:bodyDiv w:val="1"/>
      <w:marLeft w:val="0"/>
      <w:marRight w:val="0"/>
      <w:marTop w:val="0"/>
      <w:marBottom w:val="0"/>
      <w:divBdr>
        <w:top w:val="none" w:sz="0" w:space="0" w:color="auto"/>
        <w:left w:val="none" w:sz="0" w:space="0" w:color="auto"/>
        <w:bottom w:val="none" w:sz="0" w:space="0" w:color="auto"/>
        <w:right w:val="none" w:sz="0" w:space="0" w:color="auto"/>
      </w:divBdr>
    </w:div>
    <w:div w:id="1609968655">
      <w:bodyDiv w:val="1"/>
      <w:marLeft w:val="0"/>
      <w:marRight w:val="0"/>
      <w:marTop w:val="0"/>
      <w:marBottom w:val="0"/>
      <w:divBdr>
        <w:top w:val="none" w:sz="0" w:space="0" w:color="auto"/>
        <w:left w:val="none" w:sz="0" w:space="0" w:color="auto"/>
        <w:bottom w:val="none" w:sz="0" w:space="0" w:color="auto"/>
        <w:right w:val="none" w:sz="0" w:space="0" w:color="auto"/>
      </w:divBdr>
    </w:div>
    <w:div w:id="1688864531">
      <w:bodyDiv w:val="1"/>
      <w:marLeft w:val="0"/>
      <w:marRight w:val="0"/>
      <w:marTop w:val="0"/>
      <w:marBottom w:val="0"/>
      <w:divBdr>
        <w:top w:val="none" w:sz="0" w:space="0" w:color="auto"/>
        <w:left w:val="none" w:sz="0" w:space="0" w:color="auto"/>
        <w:bottom w:val="none" w:sz="0" w:space="0" w:color="auto"/>
        <w:right w:val="none" w:sz="0" w:space="0" w:color="auto"/>
      </w:divBdr>
    </w:div>
    <w:div w:id="210444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log.telegeography.com/does-70-of-the-worlds-internet-traffic-flow-through-virginia"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Increase in Real GDP</c:v>
                </c:pt>
              </c:strCache>
            </c:strRef>
          </c:tx>
          <c:spPr>
            <a:solidFill>
              <a:schemeClr val="accent1"/>
            </a:solidFill>
            <a:ln>
              <a:noFill/>
            </a:ln>
            <a:effectLst/>
          </c:spPr>
          <c:invertIfNegative val="0"/>
          <c:dLbls>
            <c:spPr>
              <a:noFill/>
              <a:ln>
                <a:noFill/>
              </a:ln>
              <a:effectLst/>
            </c:spPr>
            <c:txPr>
              <a:bodyPr rot="0" spcFirstLastPara="1" vertOverflow="ellipsis" horzOverflow="clip" vert="horz" wrap="square" lIns="36576" tIns="18288" rIns="91440" bIns="18288"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2019</c:v>
                </c:pt>
                <c:pt idx="1">
                  <c:v>2020</c:v>
                </c:pt>
                <c:pt idx="2">
                  <c:v>2021</c:v>
                </c:pt>
                <c:pt idx="3">
                  <c:v>2022</c:v>
                </c:pt>
                <c:pt idx="4">
                  <c:v>2023</c:v>
                </c:pt>
                <c:pt idx="5">
                  <c:v>2024</c:v>
                </c:pt>
                <c:pt idx="6">
                  <c:v>2025</c:v>
                </c:pt>
              </c:numCache>
            </c:numRef>
          </c:cat>
          <c:val>
            <c:numRef>
              <c:f>Sheet1!$B$2:$B$8</c:f>
              <c:numCache>
                <c:formatCode>"$"#,##0.0_);\("$"#,##0.0\)</c:formatCode>
                <c:ptCount val="7"/>
                <c:pt idx="0">
                  <c:v>9.8000000000000007</c:v>
                </c:pt>
                <c:pt idx="1">
                  <c:v>23.4</c:v>
                </c:pt>
                <c:pt idx="2">
                  <c:v>3.8</c:v>
                </c:pt>
                <c:pt idx="3">
                  <c:v>3.6</c:v>
                </c:pt>
                <c:pt idx="4">
                  <c:v>3</c:v>
                </c:pt>
                <c:pt idx="5">
                  <c:v>2.6</c:v>
                </c:pt>
                <c:pt idx="6">
                  <c:v>2.5</c:v>
                </c:pt>
              </c:numCache>
            </c:numRef>
          </c:val>
          <c:extLst>
            <c:ext xmlns:c16="http://schemas.microsoft.com/office/drawing/2014/chart" uri="{C3380CC4-5D6E-409C-BE32-E72D297353CC}">
              <c16:uniqueId val="{00000000-C4A1-4396-868A-5FBA00E0B677}"/>
            </c:ext>
          </c:extLst>
        </c:ser>
        <c:dLbls>
          <c:showLegendKey val="0"/>
          <c:showVal val="0"/>
          <c:showCatName val="0"/>
          <c:showSerName val="0"/>
          <c:showPercent val="0"/>
          <c:showBubbleSize val="0"/>
        </c:dLbls>
        <c:gapWidth val="219"/>
        <c:overlap val="-27"/>
        <c:axId val="744531904"/>
        <c:axId val="1116475472"/>
      </c:barChart>
      <c:catAx>
        <c:axId val="744531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116475472"/>
        <c:crosses val="autoZero"/>
        <c:auto val="1"/>
        <c:lblAlgn val="ctr"/>
        <c:lblOffset val="100"/>
        <c:noMultiLvlLbl val="0"/>
      </c:catAx>
      <c:valAx>
        <c:axId val="1116475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a:t>Millions of 2012 Dollars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quot;$&quot;#,##0.0_);\(&quot;$&quot;#,##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7445319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Increase in Real GDP</c:v>
                </c:pt>
              </c:strCache>
            </c:strRef>
          </c:tx>
          <c:spPr>
            <a:solidFill>
              <a:schemeClr val="accent1"/>
            </a:solidFill>
            <a:ln>
              <a:noFill/>
            </a:ln>
            <a:effectLst/>
          </c:spPr>
          <c:invertIfNegative val="0"/>
          <c:dLbls>
            <c:spPr>
              <a:noFill/>
              <a:ln>
                <a:noFill/>
              </a:ln>
              <a:effectLst/>
            </c:spPr>
            <c:txPr>
              <a:bodyPr rot="0" spcFirstLastPara="1" vertOverflow="ellipsis" horzOverflow="clip" vert="horz" wrap="square" lIns="36576" tIns="18288" rIns="91440" bIns="18288"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2019</c:v>
                </c:pt>
                <c:pt idx="1">
                  <c:v>2020</c:v>
                </c:pt>
                <c:pt idx="2">
                  <c:v>2021</c:v>
                </c:pt>
                <c:pt idx="3">
                  <c:v>2022</c:v>
                </c:pt>
                <c:pt idx="4">
                  <c:v>2023</c:v>
                </c:pt>
                <c:pt idx="5">
                  <c:v>2024</c:v>
                </c:pt>
                <c:pt idx="6">
                  <c:v>2025</c:v>
                </c:pt>
              </c:numCache>
            </c:numRef>
          </c:cat>
          <c:val>
            <c:numRef>
              <c:f>Sheet1!$B$2:$B$8</c:f>
              <c:numCache>
                <c:formatCode>"$"#,##0.0_);\("$"#,##0.0\)</c:formatCode>
                <c:ptCount val="7"/>
                <c:pt idx="0">
                  <c:v>9.8000000000000007</c:v>
                </c:pt>
                <c:pt idx="1">
                  <c:v>33.200000000000003</c:v>
                </c:pt>
                <c:pt idx="2">
                  <c:v>37</c:v>
                </c:pt>
                <c:pt idx="3">
                  <c:v>40.6</c:v>
                </c:pt>
                <c:pt idx="4">
                  <c:v>43.6</c:v>
                </c:pt>
                <c:pt idx="5">
                  <c:v>46.2</c:v>
                </c:pt>
                <c:pt idx="6">
                  <c:v>48.7</c:v>
                </c:pt>
              </c:numCache>
            </c:numRef>
          </c:val>
          <c:extLst>
            <c:ext xmlns:c16="http://schemas.microsoft.com/office/drawing/2014/chart" uri="{C3380CC4-5D6E-409C-BE32-E72D297353CC}">
              <c16:uniqueId val="{00000000-821B-4485-9824-CD175DEFB2C2}"/>
            </c:ext>
          </c:extLst>
        </c:ser>
        <c:dLbls>
          <c:showLegendKey val="0"/>
          <c:showVal val="0"/>
          <c:showCatName val="0"/>
          <c:showSerName val="0"/>
          <c:showPercent val="0"/>
          <c:showBubbleSize val="0"/>
        </c:dLbls>
        <c:gapWidth val="219"/>
        <c:overlap val="-27"/>
        <c:axId val="744531904"/>
        <c:axId val="1116475472"/>
      </c:barChart>
      <c:catAx>
        <c:axId val="744531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116475472"/>
        <c:crosses val="autoZero"/>
        <c:auto val="1"/>
        <c:lblAlgn val="ctr"/>
        <c:lblOffset val="100"/>
        <c:noMultiLvlLbl val="0"/>
      </c:catAx>
      <c:valAx>
        <c:axId val="1116475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a:t>Millions of 2012 Dollars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quot;$&quot;#,##0.0_);\(&quot;$&quot;#,##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7445319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Increase in Private Nonfarm Payrolls</c:v>
                </c:pt>
              </c:strCache>
            </c:strRef>
          </c:tx>
          <c:spPr>
            <a:solidFill>
              <a:schemeClr val="accent1"/>
            </a:solidFill>
            <a:ln>
              <a:noFill/>
            </a:ln>
            <a:effectLst/>
          </c:spPr>
          <c:invertIfNegative val="0"/>
          <c:dLbls>
            <c:spPr>
              <a:noFill/>
              <a:ln>
                <a:noFill/>
              </a:ln>
              <a:effectLst/>
            </c:spPr>
            <c:txPr>
              <a:bodyPr rot="0" spcFirstLastPara="1" vertOverflow="ellipsis" horzOverflow="clip" vert="horz" wrap="square" lIns="36576" tIns="18288" rIns="91440" bIns="18288"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2019</c:v>
                </c:pt>
                <c:pt idx="1">
                  <c:v>2020</c:v>
                </c:pt>
                <c:pt idx="2">
                  <c:v>2021</c:v>
                </c:pt>
                <c:pt idx="3">
                  <c:v>2022</c:v>
                </c:pt>
                <c:pt idx="4">
                  <c:v>2023</c:v>
                </c:pt>
                <c:pt idx="5">
                  <c:v>2024</c:v>
                </c:pt>
                <c:pt idx="6">
                  <c:v>2025</c:v>
                </c:pt>
              </c:numCache>
            </c:numRef>
          </c:cat>
          <c:val>
            <c:numRef>
              <c:f>Sheet1!$B$2:$B$8</c:f>
              <c:numCache>
                <c:formatCode>0</c:formatCode>
                <c:ptCount val="7"/>
                <c:pt idx="0">
                  <c:v>102</c:v>
                </c:pt>
                <c:pt idx="1">
                  <c:v>239</c:v>
                </c:pt>
                <c:pt idx="2">
                  <c:v>33</c:v>
                </c:pt>
                <c:pt idx="3">
                  <c:v>32</c:v>
                </c:pt>
                <c:pt idx="4">
                  <c:v>25</c:v>
                </c:pt>
                <c:pt idx="5">
                  <c:v>22</c:v>
                </c:pt>
                <c:pt idx="6">
                  <c:v>20</c:v>
                </c:pt>
              </c:numCache>
            </c:numRef>
          </c:val>
          <c:extLst>
            <c:ext xmlns:c16="http://schemas.microsoft.com/office/drawing/2014/chart" uri="{C3380CC4-5D6E-409C-BE32-E72D297353CC}">
              <c16:uniqueId val="{00000000-AF4F-460D-AB26-9C7C6F882D3D}"/>
            </c:ext>
          </c:extLst>
        </c:ser>
        <c:dLbls>
          <c:showLegendKey val="0"/>
          <c:showVal val="0"/>
          <c:showCatName val="0"/>
          <c:showSerName val="0"/>
          <c:showPercent val="0"/>
          <c:showBubbleSize val="0"/>
        </c:dLbls>
        <c:gapWidth val="219"/>
        <c:overlap val="-27"/>
        <c:axId val="744531904"/>
        <c:axId val="1116475472"/>
      </c:barChart>
      <c:catAx>
        <c:axId val="744531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116475472"/>
        <c:crosses val="autoZero"/>
        <c:auto val="1"/>
        <c:lblAlgn val="ctr"/>
        <c:lblOffset val="100"/>
        <c:noMultiLvlLbl val="0"/>
      </c:catAx>
      <c:valAx>
        <c:axId val="1116475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a:t>Nonfarm Payrolls (Jobs)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7445319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We estimate that Energix’s planned investment of $130 million in Virginia by the end of the first quarter of 2020 will raise Virginia’s real (inflation-adjusted) Gross Domestic Product by $33.2 million by the end of 2020. By 2025, we estimate that Energix’s $130 million investment in 2019 and 2020 and the operations of its facilities in the Commonwealth will increase real GDP in Virginia by $48.7 million and create 30 new permanent jobs. Energix’s planned management operations in Northern Virginia will create 57 permanent jobs and raise Virginia’s real GDP by $5.5 million when hiring reaches planned levels.</Abstract>
  <CompanyAddress/>
  <CompanyPhone/>
  <CompanyFax/>
  <CompanyEmail>rmcnab@odu.edu</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F7F14D-68B8-4173-8F7F-3BFDD493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Pages>
  <Words>3887</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The Economic Impact of Energix’s Investment in Solar Energy Facilities IN the Commonwealth
of Virginia</vt:lpstr>
    </vt:vector>
  </TitlesOfParts>
  <Company/>
  <LinksUpToDate>false</LinksUpToDate>
  <CharactersWithSpaces>25998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Impact of Energix’s Investment in Solar Energy Facilities IN the Commonwealth
of Virginia</dc:title>
  <dc:subject>March 2020</dc:subject>
  <dc:creator>Dragas Center for Economic Analysis and Policy</dc:creator>
  <cp:keywords/>
  <dc:description/>
  <cp:lastModifiedBy>Dov Hoch</cp:lastModifiedBy>
  <cp:revision>2</cp:revision>
  <dcterms:created xsi:type="dcterms:W3CDTF">2020-03-12T09:27:00Z</dcterms:created>
  <dcterms:modified xsi:type="dcterms:W3CDTF">2020-03-12T09:27:00Z</dcterms:modified>
</cp:coreProperties>
</file>